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23FEB" w14:textId="71FF519C" w:rsidR="006D5D4C" w:rsidRDefault="00787ACA">
      <w:pPr>
        <w:pStyle w:val="Heading1"/>
        <w:numPr>
          <w:ilvl w:val="0"/>
          <w:numId w:val="0"/>
        </w:numPr>
        <w:rPr>
          <w:rFonts w:ascii="Times New Roman" w:hAnsi="Times New Roman"/>
          <w:sz w:val="24"/>
          <w:szCs w:val="24"/>
        </w:rPr>
      </w:pPr>
      <w:r>
        <w:t>Endokrininę sistemą ardančių medžiagų reglamentavimo tinkamumo patikra. MVĮ panelinis tyrimas</w:t>
      </w:r>
    </w:p>
    <w:p w14:paraId="2CCAC5E8" w14:textId="77777777" w:rsidR="006D5D4C" w:rsidRDefault="006D5D4C"/>
    <w:p w14:paraId="7A171D36" w14:textId="77777777" w:rsidR="006D5D4C" w:rsidRDefault="00787ACA">
      <w:pPr>
        <w:pStyle w:val="Heading2"/>
        <w:numPr>
          <w:ilvl w:val="0"/>
          <w:numId w:val="0"/>
        </w:numPr>
        <w:rPr>
          <w:rFonts w:eastAsia="Times New Roman"/>
        </w:rPr>
      </w:pPr>
      <w:r>
        <w:t>Aprėptis ir tikslai</w:t>
      </w:r>
    </w:p>
    <w:p w14:paraId="63C888D7" w14:textId="77777777" w:rsidR="006D5D4C" w:rsidRDefault="006D5D4C">
      <w:pPr>
        <w:spacing w:after="0" w:line="240" w:lineRule="auto"/>
        <w:ind w:left="540"/>
        <w:rPr>
          <w:rFonts w:ascii="Calibri" w:eastAsia="Times New Roman" w:hAnsi="Calibri" w:cs="Calibri"/>
        </w:rPr>
      </w:pPr>
    </w:p>
    <w:p w14:paraId="68814D8D" w14:textId="4732EF17" w:rsidR="006D5D4C" w:rsidRDefault="00CA734A">
      <w:pPr>
        <w:spacing w:before="120" w:after="120"/>
        <w:ind w:right="57"/>
        <w:jc w:val="both"/>
        <w:rPr>
          <w:rFonts w:cstheme="minorHAnsi"/>
        </w:rPr>
      </w:pPr>
      <w:r>
        <w:rPr>
          <w:rFonts w:ascii="Calibri" w:hAnsi="Calibri"/>
        </w:rPr>
        <w:t>Endokrininę sistemą ardančios medžiagos yra cheminės medžiagos, kurios paveikia hormonus (endokrininę sistemą) ir taip daro neigiamą poveikį žmonių ir gyvūnų sveikatai</w:t>
      </w:r>
      <w:r>
        <w:t>.</w:t>
      </w:r>
      <w:r>
        <w:rPr>
          <w:rFonts w:ascii="Calibri" w:hAnsi="Calibri"/>
        </w:rPr>
        <w:t xml:space="preserve"> Jos gali būti sintetinės arba natūralios. Endokrininę sistemą ardančių medžiagų ekspozicijos šaltiniai gali būti įvairūs, pavyzdžiui, pesticidų liekanos mūsų maiste arba kituose naudojamuose ar kasdienėje aplinkoje esančiuose produktuose.</w:t>
      </w:r>
    </w:p>
    <w:p w14:paraId="1423686A" w14:textId="5D54D1B2" w:rsidR="006D5D4C" w:rsidRDefault="00CA734A">
      <w:pPr>
        <w:jc w:val="both"/>
        <w:rPr>
          <w:rFonts w:cs="Arial"/>
          <w:color w:val="000000" w:themeColor="text1"/>
        </w:rPr>
      </w:pPr>
      <w:r>
        <w:t>2018 m. lapkričio 7 d. priimtame komunikate „Visapusiškos Europos Sąjungos sistemos dėl endokrininę sistemą ardančių medžiagų kūrimas“ Europos Komisija patvirtino savo įsipareigojimą apsaugoti ES piliečius ir aplinką nuo endokrininę sistemą ardančių medžiagų, kuo labiau sumažinant šių medžiagų poveikį žmonėms ir laukiniams gyvūnams.</w:t>
      </w:r>
      <w:r>
        <w:cr/>
      </w:r>
      <w:r>
        <w:br/>
        <w:t xml:space="preserve"> Komunikate išdėstyti išsamūs veiksmai, įskaitant kompleksinę atitinkamų teisės aktų tinkamumo patikrą.  </w:t>
      </w:r>
    </w:p>
    <w:p w14:paraId="2E361FA5" w14:textId="2CF6FA02" w:rsidR="006D5D4C" w:rsidRDefault="007F24F6">
      <w:pPr>
        <w:spacing w:before="120" w:after="120"/>
        <w:ind w:left="57" w:right="57"/>
        <w:jc w:val="both"/>
        <w:rPr>
          <w:rFonts w:eastAsia="Times New Roman" w:cstheme="minorHAnsi"/>
        </w:rPr>
      </w:pPr>
      <w:r>
        <w:t>ES teisės aktai, kuriais reglamentuojamos cheminės medžiagos, yra parengti skirtingu metu ir tam tikrais atvejais jais siekiama skirtingų tikslų. Dėl to, priklausomai nuo sektoriaus, taikomi skirtingi endokrininę sistemą ardančių medžiagų reglamentavimo metodai ir kyla klausimų, ar ES teisinė sistema, kuria reglamentuojamos endokrininę sistemą ardančios medžiagos, yra pakankamai nuosekli.</w:t>
      </w:r>
      <w:r>
        <w:cr/>
      </w:r>
      <w:r>
        <w:br/>
        <w:t xml:space="preserve"> Tinkamumo patikros tikslas – išanalizuoti skirtingų reglamentavimo metodų, taikomų endokrininę sistemą ardančių medžiagų vertinimui ir valdymui, suderinamumą ir įvertinti, ar teisės aktais įgyvendinami jų tikslai apsaugoti žmonių sveikatą ir aplinką.</w:t>
      </w:r>
      <w:r>
        <w:cr/>
      </w:r>
      <w:r>
        <w:br/>
        <w:t xml:space="preserve"> Tinkamumo patikros rezultatais bus galima remtis tobulinant endokrininę sistemą ardančių medžiagų reglamentavimo sistemą.</w:t>
      </w:r>
      <w:r>
        <w:cr/>
      </w:r>
      <w:r>
        <w:br/>
        <w:t xml:space="preserve"> Daugiau informacijos yra paskelbtame veiksmų plane</w:t>
      </w:r>
      <w:r>
        <w:rPr>
          <w:rFonts w:cstheme="minorHAnsi"/>
          <w:vertAlign w:val="superscript"/>
        </w:rPr>
        <w:footnoteReference w:id="2"/>
      </w:r>
      <w:r>
        <w:t xml:space="preserve">. </w:t>
      </w:r>
    </w:p>
    <w:p w14:paraId="5C511AC9" w14:textId="19E1EFA7" w:rsidR="006D5D4C" w:rsidRDefault="00787ACA">
      <w:pPr>
        <w:spacing w:after="0"/>
        <w:rPr>
          <w:rFonts w:eastAsia="Times New Roman" w:cstheme="minorHAnsi"/>
        </w:rPr>
      </w:pPr>
      <w:r>
        <w:t>Konsultacijos su suinteresuotosiomis šalimis yra esminė tinkamumo patikros dalis.</w:t>
      </w:r>
      <w:r>
        <w:cr/>
      </w:r>
      <w:r>
        <w:br/>
        <w:t xml:space="preserve"> Jomis siekiama surinkti įvairių suinteresuotųjų šalių grupių ir piliečių atsiliepimus, kad atliekant vertinimą būtų atsižvelgta į visų suinteresuotųjų šalių nuomones.</w:t>
      </w:r>
      <w:r>
        <w:cr/>
      </w:r>
      <w:r>
        <w:br/>
        <w:t xml:space="preserve"> </w:t>
      </w:r>
    </w:p>
    <w:p w14:paraId="6E7ECB9C" w14:textId="77777777" w:rsidR="006D5D4C" w:rsidRDefault="006D5D4C">
      <w:pPr>
        <w:spacing w:after="0"/>
        <w:rPr>
          <w:rFonts w:eastAsia="Times New Roman" w:cstheme="minorHAnsi"/>
        </w:rPr>
      </w:pPr>
    </w:p>
    <w:p w14:paraId="0E08F9FC" w14:textId="0BB393BE" w:rsidR="006D5D4C" w:rsidRDefault="004B3383">
      <w:pPr>
        <w:spacing w:after="240"/>
        <w:textAlignment w:val="center"/>
        <w:rPr>
          <w:rFonts w:eastAsia="Times New Roman" w:cstheme="minorHAnsi"/>
        </w:rPr>
      </w:pPr>
      <w:r>
        <w:lastRenderedPageBreak/>
        <w:t>Šio tyrimo tikslai yra:</w:t>
      </w:r>
    </w:p>
    <w:p w14:paraId="563C17BC" w14:textId="03378ABD" w:rsidR="006D5D4C" w:rsidRDefault="00E64440">
      <w:pPr>
        <w:pStyle w:val="ListParagraph"/>
        <w:numPr>
          <w:ilvl w:val="0"/>
          <w:numId w:val="35"/>
        </w:numPr>
        <w:spacing w:after="240"/>
        <w:textAlignment w:val="center"/>
        <w:rPr>
          <w:rFonts w:eastAsia="Times New Roman" w:cstheme="minorHAnsi"/>
        </w:rPr>
      </w:pPr>
      <w:r>
        <w:t>Nustatyti bet kokį teisinį nenuoseklumą ir jo pasekmes mažosioms įmonėms</w:t>
      </w:r>
      <w:r>
        <w:cr/>
      </w:r>
      <w:r>
        <w:br/>
        <w:t xml:space="preserve"> </w:t>
      </w:r>
    </w:p>
    <w:p w14:paraId="28D90D83" w14:textId="04D2164F" w:rsidR="006D5D4C" w:rsidRDefault="00E64440">
      <w:pPr>
        <w:pStyle w:val="ListParagraph"/>
        <w:numPr>
          <w:ilvl w:val="0"/>
          <w:numId w:val="35"/>
        </w:numPr>
        <w:spacing w:after="240"/>
        <w:textAlignment w:val="center"/>
        <w:rPr>
          <w:rFonts w:eastAsia="Times New Roman" w:cstheme="minorHAnsi"/>
        </w:rPr>
      </w:pPr>
      <w:r>
        <w:t>Peržiūrėti vertinimo ir rizikos valdymo procedūrų veiksmingumą</w:t>
      </w:r>
      <w:r>
        <w:cr/>
      </w:r>
      <w:r>
        <w:br/>
        <w:t xml:space="preserve"> </w:t>
      </w:r>
    </w:p>
    <w:p w14:paraId="49904A7F" w14:textId="0AAE772C" w:rsidR="006D5D4C" w:rsidRDefault="00E64440">
      <w:pPr>
        <w:pStyle w:val="ListParagraph"/>
        <w:numPr>
          <w:ilvl w:val="0"/>
          <w:numId w:val="35"/>
        </w:numPr>
        <w:spacing w:after="240"/>
        <w:textAlignment w:val="center"/>
        <w:rPr>
          <w:rFonts w:eastAsia="Times New Roman" w:cstheme="minorHAnsi"/>
        </w:rPr>
      </w:pPr>
      <w:r>
        <w:t>Nustatyti tobulinimo galimybes</w:t>
      </w:r>
      <w:r>
        <w:cr/>
      </w:r>
      <w:r>
        <w:br/>
      </w:r>
    </w:p>
    <w:p w14:paraId="3E24BF8F" w14:textId="132DA128" w:rsidR="006D5D4C" w:rsidRDefault="00EC4B47">
      <w:pPr>
        <w:jc w:val="both"/>
        <w:rPr>
          <w:rFonts w:cs="Arial"/>
          <w:color w:val="000000" w:themeColor="text1"/>
        </w:rPr>
      </w:pPr>
      <w:r>
        <w:t xml:space="preserve"> Tyrimo instrukcijos. </w:t>
      </w:r>
    </w:p>
    <w:p w14:paraId="049F7AD1" w14:textId="2FAB5566" w:rsidR="006D5D4C" w:rsidRDefault="00711EA7">
      <w:pPr>
        <w:jc w:val="both"/>
        <w:rPr>
          <w:rFonts w:asciiTheme="majorHAnsi" w:eastAsia="Times New Roman" w:hAnsiTheme="majorHAnsi" w:cstheme="majorBidi"/>
          <w:b/>
          <w:bCs/>
          <w:color w:val="4F81BD" w:themeColor="accent1"/>
          <w:sz w:val="26"/>
          <w:szCs w:val="26"/>
        </w:rPr>
      </w:pPr>
      <w:r>
        <w:t>Raginame Jus laukeliuose prie klausimų pateikti atsakymų paaiškinimus.</w:t>
      </w:r>
      <w:r>
        <w:cr/>
      </w:r>
      <w:r>
        <w:br/>
        <w:t xml:space="preserve"> Tačiau šie laukeliai neprivalomi.</w:t>
      </w:r>
      <w:r>
        <w:cr/>
      </w:r>
      <w:r>
        <w:br/>
        <w:t xml:space="preserve"> </w:t>
      </w:r>
      <w:r>
        <w:br w:type="page"/>
      </w:r>
    </w:p>
    <w:p w14:paraId="559E3B2E" w14:textId="44978A3F" w:rsidR="006D5D4C" w:rsidRDefault="00787ACA">
      <w:pPr>
        <w:pStyle w:val="Heading2"/>
        <w:numPr>
          <w:ilvl w:val="0"/>
          <w:numId w:val="0"/>
        </w:numPr>
        <w:rPr>
          <w:rFonts w:eastAsia="Times New Roman"/>
        </w:rPr>
      </w:pPr>
      <w:r>
        <w:lastRenderedPageBreak/>
        <w:t>Tyrimas</w:t>
      </w:r>
    </w:p>
    <w:p w14:paraId="6305068C" w14:textId="77777777" w:rsidR="006D5D4C" w:rsidRDefault="006D5D4C">
      <w:pPr>
        <w:rPr>
          <w:b/>
        </w:rPr>
      </w:pPr>
    </w:p>
    <w:p w14:paraId="3525D033" w14:textId="5465CC26" w:rsidR="006D5D4C" w:rsidRDefault="00657E80">
      <w:pPr>
        <w:rPr>
          <w:b/>
        </w:rPr>
      </w:pPr>
      <w:r>
        <w:rPr>
          <w:b/>
        </w:rPr>
        <w:t>Apie bendrovę</w:t>
      </w:r>
    </w:p>
    <w:p w14:paraId="0ADC5F5F" w14:textId="77777777" w:rsidR="006D5D4C" w:rsidRDefault="00787ACA">
      <w:pPr>
        <w:pStyle w:val="ListParagraph"/>
        <w:numPr>
          <w:ilvl w:val="0"/>
          <w:numId w:val="36"/>
        </w:numPr>
        <w:rPr>
          <w:szCs w:val="24"/>
        </w:rPr>
      </w:pPr>
      <w:r>
        <w:t xml:space="preserve">Dydis. Nurodykite, kuris iš toliau nurodytų dydžių geriausiai apibūdina, kokio dydžio yra jūsų bendrovė ar jūsų bendrovių grupė: </w:t>
      </w:r>
    </w:p>
    <w:p w14:paraId="54D67E7E" w14:textId="1475EB9B" w:rsidR="006D5D4C" w:rsidRDefault="00974FFE">
      <w:pPr>
        <w:pStyle w:val="ListParagraph"/>
        <w:ind w:left="768"/>
        <w:rPr>
          <w:szCs w:val="24"/>
        </w:rPr>
      </w:pPr>
      <w:r>
        <w:t xml:space="preserve"> </w:t>
      </w:r>
    </w:p>
    <w:p w14:paraId="0D792FE5" w14:textId="294FED1A" w:rsidR="006D5D4C" w:rsidRDefault="004B3383">
      <w:pPr>
        <w:numPr>
          <w:ilvl w:val="0"/>
          <w:numId w:val="13"/>
        </w:numPr>
        <w:spacing w:after="0"/>
        <w:ind w:left="714" w:hanging="357"/>
        <w:rPr>
          <w:rFonts w:ascii="Calibri" w:hAnsi="Calibri" w:cs="Times New Roman"/>
        </w:rPr>
      </w:pPr>
      <w:r>
        <w:rPr>
          <w:rFonts w:ascii="Calibri" w:hAnsi="Calibri"/>
        </w:rPr>
        <w:t>Savarankiškai dirbantys asmenys: 0 darbuotojų</w:t>
      </w:r>
    </w:p>
    <w:p w14:paraId="5735422A" w14:textId="0AE1CB58" w:rsidR="006D5D4C" w:rsidRDefault="004B3383">
      <w:pPr>
        <w:numPr>
          <w:ilvl w:val="0"/>
          <w:numId w:val="13"/>
        </w:numPr>
        <w:spacing w:after="0"/>
        <w:ind w:left="714" w:hanging="357"/>
        <w:rPr>
          <w:rFonts w:ascii="Calibri" w:hAnsi="Calibri" w:cs="Times New Roman"/>
        </w:rPr>
      </w:pPr>
      <w:r>
        <w:rPr>
          <w:rFonts w:ascii="Calibri" w:hAnsi="Calibri"/>
          <w:bCs/>
        </w:rPr>
        <w:t>Labai mažos įmonės –</w:t>
      </w:r>
      <w:r>
        <w:rPr>
          <w:rFonts w:ascii="Calibri" w:hAnsi="Calibri"/>
        </w:rPr>
        <w:t xml:space="preserve"> 1–9 darbuotojai</w:t>
      </w:r>
    </w:p>
    <w:p w14:paraId="313833A1" w14:textId="213B52E7" w:rsidR="006D5D4C" w:rsidRDefault="004B3383">
      <w:pPr>
        <w:numPr>
          <w:ilvl w:val="0"/>
          <w:numId w:val="13"/>
        </w:numPr>
        <w:spacing w:after="0"/>
        <w:ind w:left="714" w:hanging="357"/>
        <w:rPr>
          <w:rFonts w:ascii="Calibri" w:hAnsi="Calibri" w:cs="Times New Roman"/>
        </w:rPr>
      </w:pPr>
      <w:r>
        <w:rPr>
          <w:rFonts w:ascii="Calibri" w:hAnsi="Calibri"/>
          <w:bCs/>
        </w:rPr>
        <w:t>Mažosios įmonės –</w:t>
      </w:r>
      <w:r w:rsidR="008C21FA">
        <w:rPr>
          <w:rFonts w:ascii="Calibri" w:hAnsi="Calibri"/>
        </w:rPr>
        <w:t xml:space="preserve"> 10–49 darbuotojai</w:t>
      </w:r>
    </w:p>
    <w:p w14:paraId="54217051" w14:textId="7FDF7339" w:rsidR="006D5D4C" w:rsidRDefault="004B3383">
      <w:pPr>
        <w:numPr>
          <w:ilvl w:val="0"/>
          <w:numId w:val="13"/>
        </w:numPr>
        <w:spacing w:after="0"/>
        <w:ind w:left="714" w:hanging="357"/>
        <w:rPr>
          <w:rFonts w:ascii="Calibri" w:hAnsi="Calibri" w:cs="Times New Roman"/>
        </w:rPr>
      </w:pPr>
      <w:r>
        <w:rPr>
          <w:rFonts w:ascii="Calibri" w:hAnsi="Calibri"/>
          <w:bCs/>
        </w:rPr>
        <w:t>Vidutinės įmonės –</w:t>
      </w:r>
      <w:r>
        <w:rPr>
          <w:rFonts w:ascii="Calibri" w:hAnsi="Calibri"/>
        </w:rPr>
        <w:t xml:space="preserve"> </w:t>
      </w:r>
      <w:r w:rsidR="008C21FA">
        <w:rPr>
          <w:rFonts w:ascii="Calibri" w:hAnsi="Calibri"/>
        </w:rPr>
        <w:t>50-249 darbuotojai</w:t>
      </w:r>
    </w:p>
    <w:p w14:paraId="79DA36A5" w14:textId="559EB196" w:rsidR="006D5D4C" w:rsidRDefault="004B3383">
      <w:pPr>
        <w:numPr>
          <w:ilvl w:val="0"/>
          <w:numId w:val="13"/>
        </w:numPr>
        <w:spacing w:after="0"/>
        <w:ind w:left="714" w:hanging="357"/>
        <w:rPr>
          <w:rFonts w:ascii="Calibri" w:hAnsi="Calibri" w:cs="Times New Roman"/>
        </w:rPr>
      </w:pPr>
      <w:r>
        <w:rPr>
          <w:rFonts w:ascii="Calibri" w:hAnsi="Calibri"/>
          <w:bCs/>
        </w:rPr>
        <w:t xml:space="preserve">Didžiosios įmonės </w:t>
      </w:r>
      <w:r>
        <w:rPr>
          <w:rFonts w:ascii="Calibri" w:hAnsi="Calibri"/>
          <w:b/>
          <w:bCs/>
        </w:rPr>
        <w:t>–</w:t>
      </w:r>
      <w:r>
        <w:rPr>
          <w:rFonts w:ascii="Calibri" w:hAnsi="Calibri"/>
        </w:rPr>
        <w:t xml:space="preserve"> 250 ar daugiau darbuotojų</w:t>
      </w:r>
    </w:p>
    <w:p w14:paraId="52BC0EB5" w14:textId="51B67059" w:rsidR="006D5D4C" w:rsidRDefault="006D5D4C">
      <w:pPr>
        <w:pStyle w:val="ListParagraph"/>
        <w:ind w:left="0"/>
      </w:pPr>
    </w:p>
    <w:p w14:paraId="52EAC2BE" w14:textId="03118286" w:rsidR="006D5D4C" w:rsidRDefault="00787ACA">
      <w:pPr>
        <w:pStyle w:val="ListParagraph"/>
        <w:numPr>
          <w:ilvl w:val="0"/>
          <w:numId w:val="36"/>
        </w:numPr>
        <w:rPr>
          <w:szCs w:val="24"/>
        </w:rPr>
      </w:pPr>
      <w:r>
        <w:t>Geografinė vieta. Nurodykite pagrindinę savo bendrovės verslo šalį:</w:t>
      </w:r>
      <w:r>
        <w:cr/>
      </w:r>
      <w:r>
        <w:br/>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448"/>
        <w:gridCol w:w="463"/>
        <w:gridCol w:w="411"/>
        <w:gridCol w:w="398"/>
        <w:gridCol w:w="418"/>
        <w:gridCol w:w="440"/>
        <w:gridCol w:w="392"/>
        <w:gridCol w:w="400"/>
        <w:gridCol w:w="389"/>
        <w:gridCol w:w="432"/>
        <w:gridCol w:w="842"/>
        <w:gridCol w:w="1285"/>
        <w:gridCol w:w="936"/>
        <w:gridCol w:w="929"/>
        <w:gridCol w:w="510"/>
        <w:gridCol w:w="382"/>
      </w:tblGrid>
      <w:tr w:rsidR="006D5D4C" w14:paraId="01CC86A7" w14:textId="31107847" w:rsidTr="00DA5472">
        <w:trPr>
          <w:jc w:val="center"/>
        </w:trPr>
        <w:tc>
          <w:tcPr>
            <w:tcW w:w="292" w:type="pct"/>
            <w:tcBorders>
              <w:top w:val="double" w:sz="4" w:space="0" w:color="auto"/>
              <w:left w:val="single" w:sz="6" w:space="0" w:color="auto"/>
              <w:bottom w:val="double" w:sz="4" w:space="0" w:color="auto"/>
              <w:right w:val="single" w:sz="6" w:space="0" w:color="auto"/>
            </w:tcBorders>
          </w:tcPr>
          <w:p w14:paraId="63D3B291" w14:textId="29207430" w:rsidR="006D5D4C" w:rsidRDefault="004741C7">
            <w:pPr>
              <w:spacing w:after="120"/>
              <w:jc w:val="center"/>
              <w:rPr>
                <w:rFonts w:cs="Times New Roman"/>
                <w:b/>
                <w:sz w:val="18"/>
                <w:szCs w:val="20"/>
              </w:rPr>
            </w:pPr>
            <w:r>
              <w:rPr>
                <w:b/>
                <w:sz w:val="18"/>
                <w:szCs w:val="20"/>
              </w:rPr>
              <w:t>AT</w:t>
            </w:r>
          </w:p>
        </w:tc>
        <w:tc>
          <w:tcPr>
            <w:tcW w:w="206" w:type="pct"/>
            <w:tcBorders>
              <w:top w:val="double" w:sz="4" w:space="0" w:color="auto"/>
              <w:left w:val="single" w:sz="6" w:space="0" w:color="auto"/>
              <w:bottom w:val="double" w:sz="4" w:space="0" w:color="auto"/>
              <w:right w:val="single" w:sz="6" w:space="0" w:color="auto"/>
            </w:tcBorders>
            <w:vAlign w:val="center"/>
            <w:hideMark/>
          </w:tcPr>
          <w:p w14:paraId="61B5EA34" w14:textId="4727FAF7" w:rsidR="006D5D4C" w:rsidRDefault="004741C7">
            <w:pPr>
              <w:spacing w:after="120"/>
              <w:jc w:val="center"/>
              <w:rPr>
                <w:rFonts w:cs="Times New Roman"/>
                <w:sz w:val="18"/>
                <w:szCs w:val="20"/>
              </w:rPr>
            </w:pPr>
            <w:r>
              <w:rPr>
                <w:b/>
                <w:sz w:val="18"/>
                <w:szCs w:val="20"/>
              </w:rPr>
              <w:t>BE</w:t>
            </w:r>
          </w:p>
        </w:tc>
        <w:tc>
          <w:tcPr>
            <w:tcW w:w="206" w:type="pct"/>
            <w:tcBorders>
              <w:top w:val="double" w:sz="4" w:space="0" w:color="auto"/>
              <w:left w:val="single" w:sz="6" w:space="0" w:color="auto"/>
              <w:bottom w:val="double" w:sz="4" w:space="0" w:color="auto"/>
              <w:right w:val="single" w:sz="6" w:space="0" w:color="auto"/>
            </w:tcBorders>
            <w:vAlign w:val="center"/>
            <w:hideMark/>
          </w:tcPr>
          <w:p w14:paraId="1AE6BC29" w14:textId="77777777" w:rsidR="006D5D4C" w:rsidRDefault="004741C7">
            <w:pPr>
              <w:spacing w:after="120"/>
              <w:jc w:val="center"/>
              <w:rPr>
                <w:rFonts w:cs="Times New Roman"/>
                <w:b/>
                <w:sz w:val="18"/>
                <w:szCs w:val="20"/>
              </w:rPr>
            </w:pPr>
            <w:r>
              <w:rPr>
                <w:b/>
                <w:sz w:val="18"/>
                <w:szCs w:val="20"/>
              </w:rPr>
              <w:t xml:space="preserve">BG </w:t>
            </w:r>
          </w:p>
        </w:tc>
        <w:tc>
          <w:tcPr>
            <w:tcW w:w="197" w:type="pct"/>
            <w:tcBorders>
              <w:top w:val="double" w:sz="4" w:space="0" w:color="auto"/>
              <w:left w:val="single" w:sz="6" w:space="0" w:color="auto"/>
              <w:bottom w:val="double" w:sz="4" w:space="0" w:color="auto"/>
              <w:right w:val="single" w:sz="6" w:space="0" w:color="auto"/>
            </w:tcBorders>
          </w:tcPr>
          <w:p w14:paraId="7DDC38D3" w14:textId="48D5F1B2" w:rsidR="006D5D4C" w:rsidRDefault="004741C7">
            <w:pPr>
              <w:spacing w:after="120"/>
              <w:jc w:val="center"/>
              <w:rPr>
                <w:rFonts w:cs="Times New Roman"/>
                <w:b/>
                <w:sz w:val="18"/>
                <w:szCs w:val="20"/>
              </w:rPr>
            </w:pPr>
            <w:r>
              <w:rPr>
                <w:b/>
                <w:sz w:val="18"/>
                <w:szCs w:val="20"/>
              </w:rPr>
              <w:t>CY</w:t>
            </w:r>
          </w:p>
        </w:tc>
        <w:tc>
          <w:tcPr>
            <w:tcW w:w="261" w:type="pct"/>
            <w:tcBorders>
              <w:top w:val="double" w:sz="4" w:space="0" w:color="auto"/>
              <w:left w:val="single" w:sz="6" w:space="0" w:color="auto"/>
              <w:bottom w:val="double" w:sz="4" w:space="0" w:color="auto"/>
              <w:right w:val="single" w:sz="6" w:space="0" w:color="auto"/>
            </w:tcBorders>
            <w:vAlign w:val="center"/>
            <w:hideMark/>
          </w:tcPr>
          <w:p w14:paraId="20CD409F" w14:textId="5F55E918" w:rsidR="006D5D4C" w:rsidRDefault="004741C7">
            <w:pPr>
              <w:spacing w:after="120"/>
              <w:jc w:val="center"/>
              <w:rPr>
                <w:rFonts w:cs="Times New Roman"/>
                <w:b/>
                <w:sz w:val="18"/>
                <w:szCs w:val="20"/>
              </w:rPr>
            </w:pPr>
            <w:r>
              <w:rPr>
                <w:b/>
                <w:sz w:val="18"/>
                <w:szCs w:val="20"/>
              </w:rPr>
              <w:t xml:space="preserve">CZ </w:t>
            </w:r>
          </w:p>
        </w:tc>
        <w:tc>
          <w:tcPr>
            <w:tcW w:w="195" w:type="pct"/>
            <w:tcBorders>
              <w:top w:val="double" w:sz="4" w:space="0" w:color="auto"/>
              <w:left w:val="single" w:sz="6" w:space="0" w:color="auto"/>
              <w:bottom w:val="double" w:sz="4" w:space="0" w:color="auto"/>
              <w:right w:val="single" w:sz="6" w:space="0" w:color="auto"/>
            </w:tcBorders>
          </w:tcPr>
          <w:p w14:paraId="4B687CFD" w14:textId="3C85FEA0" w:rsidR="006D5D4C" w:rsidRDefault="004741C7">
            <w:pPr>
              <w:spacing w:after="120"/>
              <w:jc w:val="center"/>
              <w:rPr>
                <w:rFonts w:cs="Times New Roman"/>
                <w:b/>
                <w:sz w:val="18"/>
                <w:szCs w:val="20"/>
              </w:rPr>
            </w:pPr>
            <w:r>
              <w:rPr>
                <w:b/>
                <w:sz w:val="18"/>
                <w:szCs w:val="20"/>
              </w:rPr>
              <w:t>DE</w:t>
            </w:r>
          </w:p>
        </w:tc>
        <w:tc>
          <w:tcPr>
            <w:tcW w:w="267" w:type="pct"/>
            <w:tcBorders>
              <w:top w:val="double" w:sz="4" w:space="0" w:color="auto"/>
              <w:left w:val="single" w:sz="6" w:space="0" w:color="auto"/>
              <w:bottom w:val="double" w:sz="4" w:space="0" w:color="auto"/>
              <w:right w:val="single" w:sz="6" w:space="0" w:color="auto"/>
            </w:tcBorders>
            <w:vAlign w:val="center"/>
            <w:hideMark/>
          </w:tcPr>
          <w:p w14:paraId="7D34D16D" w14:textId="1F2E39B4" w:rsidR="006D5D4C" w:rsidRDefault="004741C7">
            <w:pPr>
              <w:spacing w:after="120"/>
              <w:jc w:val="center"/>
              <w:rPr>
                <w:rFonts w:cs="Times New Roman"/>
                <w:b/>
                <w:sz w:val="18"/>
                <w:szCs w:val="20"/>
              </w:rPr>
            </w:pPr>
            <w:r>
              <w:rPr>
                <w:b/>
                <w:sz w:val="18"/>
                <w:szCs w:val="20"/>
              </w:rPr>
              <w:t xml:space="preserve">DK </w:t>
            </w:r>
          </w:p>
        </w:tc>
        <w:tc>
          <w:tcPr>
            <w:tcW w:w="238" w:type="pct"/>
            <w:tcBorders>
              <w:top w:val="double" w:sz="4" w:space="0" w:color="auto"/>
              <w:left w:val="single" w:sz="6" w:space="0" w:color="auto"/>
              <w:bottom w:val="double" w:sz="4" w:space="0" w:color="auto"/>
              <w:right w:val="single" w:sz="6" w:space="0" w:color="auto"/>
            </w:tcBorders>
            <w:vAlign w:val="center"/>
            <w:hideMark/>
          </w:tcPr>
          <w:p w14:paraId="6E532F3E" w14:textId="4A999313" w:rsidR="006D5D4C" w:rsidRDefault="004741C7">
            <w:pPr>
              <w:spacing w:after="120"/>
              <w:jc w:val="center"/>
              <w:rPr>
                <w:rFonts w:cs="Times New Roman"/>
                <w:b/>
                <w:sz w:val="18"/>
                <w:szCs w:val="20"/>
              </w:rPr>
            </w:pPr>
            <w:r>
              <w:rPr>
                <w:b/>
                <w:sz w:val="18"/>
                <w:szCs w:val="20"/>
              </w:rPr>
              <w:t xml:space="preserve">EE </w:t>
            </w:r>
          </w:p>
        </w:tc>
        <w:tc>
          <w:tcPr>
            <w:tcW w:w="270" w:type="pct"/>
            <w:tcBorders>
              <w:top w:val="double" w:sz="4" w:space="0" w:color="auto"/>
              <w:left w:val="single" w:sz="6" w:space="0" w:color="auto"/>
              <w:bottom w:val="double" w:sz="4" w:space="0" w:color="auto"/>
              <w:right w:val="single" w:sz="6" w:space="0" w:color="auto"/>
            </w:tcBorders>
            <w:vAlign w:val="center"/>
            <w:hideMark/>
          </w:tcPr>
          <w:p w14:paraId="084845E7" w14:textId="09742113" w:rsidR="006D5D4C" w:rsidRDefault="004741C7">
            <w:pPr>
              <w:spacing w:after="120"/>
              <w:jc w:val="center"/>
              <w:rPr>
                <w:rFonts w:cs="Times New Roman"/>
                <w:b/>
                <w:sz w:val="18"/>
                <w:szCs w:val="20"/>
              </w:rPr>
            </w:pPr>
            <w:r>
              <w:rPr>
                <w:b/>
                <w:sz w:val="18"/>
                <w:szCs w:val="20"/>
              </w:rPr>
              <w:t xml:space="preserve">EL </w:t>
            </w:r>
          </w:p>
        </w:tc>
        <w:tc>
          <w:tcPr>
            <w:tcW w:w="235" w:type="pct"/>
            <w:tcBorders>
              <w:top w:val="double" w:sz="4" w:space="0" w:color="auto"/>
              <w:left w:val="single" w:sz="6" w:space="0" w:color="auto"/>
              <w:bottom w:val="double" w:sz="4" w:space="0" w:color="auto"/>
              <w:right w:val="single" w:sz="6" w:space="0" w:color="auto"/>
            </w:tcBorders>
            <w:vAlign w:val="center"/>
            <w:hideMark/>
          </w:tcPr>
          <w:p w14:paraId="57AE6371" w14:textId="00AC25E2" w:rsidR="006D5D4C" w:rsidRDefault="004741C7">
            <w:pPr>
              <w:spacing w:after="120"/>
              <w:jc w:val="center"/>
              <w:rPr>
                <w:rFonts w:cs="Times New Roman"/>
                <w:b/>
                <w:sz w:val="18"/>
                <w:szCs w:val="20"/>
              </w:rPr>
            </w:pPr>
            <w:r>
              <w:rPr>
                <w:b/>
                <w:sz w:val="18"/>
                <w:szCs w:val="20"/>
              </w:rPr>
              <w:t xml:space="preserve">ES </w:t>
            </w:r>
          </w:p>
        </w:tc>
        <w:tc>
          <w:tcPr>
            <w:tcW w:w="200" w:type="pct"/>
            <w:tcBorders>
              <w:top w:val="double" w:sz="4" w:space="0" w:color="auto"/>
              <w:left w:val="single" w:sz="6" w:space="0" w:color="auto"/>
              <w:bottom w:val="double" w:sz="4" w:space="0" w:color="auto"/>
              <w:right w:val="single" w:sz="6" w:space="0" w:color="auto"/>
            </w:tcBorders>
          </w:tcPr>
          <w:p w14:paraId="281D7A7D" w14:textId="3605FFEF" w:rsidR="006D5D4C" w:rsidRDefault="004741C7">
            <w:pPr>
              <w:spacing w:after="120"/>
              <w:jc w:val="center"/>
              <w:rPr>
                <w:rFonts w:cs="Times New Roman"/>
                <w:b/>
                <w:sz w:val="18"/>
                <w:szCs w:val="20"/>
              </w:rPr>
            </w:pPr>
            <w:r>
              <w:rPr>
                <w:b/>
                <w:sz w:val="18"/>
                <w:szCs w:val="20"/>
              </w:rPr>
              <w:t xml:space="preserve">FI  </w:t>
            </w:r>
          </w:p>
        </w:tc>
        <w:tc>
          <w:tcPr>
            <w:tcW w:w="287" w:type="pct"/>
            <w:tcBorders>
              <w:top w:val="double" w:sz="4" w:space="0" w:color="auto"/>
              <w:left w:val="single" w:sz="6" w:space="0" w:color="auto"/>
              <w:bottom w:val="double" w:sz="4" w:space="0" w:color="auto"/>
              <w:right w:val="single" w:sz="6" w:space="0" w:color="auto"/>
            </w:tcBorders>
            <w:vAlign w:val="center"/>
            <w:hideMark/>
          </w:tcPr>
          <w:p w14:paraId="5829CC8D" w14:textId="67360ABE" w:rsidR="006D5D4C" w:rsidRDefault="004741C7">
            <w:pPr>
              <w:spacing w:after="120"/>
              <w:jc w:val="center"/>
              <w:rPr>
                <w:rFonts w:cs="Times New Roman"/>
                <w:b/>
                <w:sz w:val="18"/>
                <w:szCs w:val="20"/>
              </w:rPr>
            </w:pPr>
            <w:r>
              <w:rPr>
                <w:b/>
                <w:sz w:val="18"/>
                <w:szCs w:val="20"/>
              </w:rPr>
              <w:t xml:space="preserve">FR </w:t>
            </w:r>
          </w:p>
        </w:tc>
        <w:tc>
          <w:tcPr>
            <w:tcW w:w="473" w:type="pct"/>
            <w:tcBorders>
              <w:top w:val="double" w:sz="4" w:space="0" w:color="auto"/>
              <w:left w:val="single" w:sz="6" w:space="0" w:color="auto"/>
              <w:bottom w:val="double" w:sz="4" w:space="0" w:color="auto"/>
              <w:right w:val="single" w:sz="6" w:space="0" w:color="auto"/>
            </w:tcBorders>
            <w:vAlign w:val="center"/>
            <w:hideMark/>
          </w:tcPr>
          <w:p w14:paraId="569929A5" w14:textId="1F470B58" w:rsidR="006D5D4C" w:rsidRDefault="004741C7">
            <w:pPr>
              <w:spacing w:after="120"/>
              <w:jc w:val="center"/>
              <w:rPr>
                <w:rFonts w:cs="Times New Roman"/>
                <w:b/>
                <w:sz w:val="18"/>
                <w:szCs w:val="20"/>
              </w:rPr>
            </w:pPr>
            <w:r>
              <w:rPr>
                <w:b/>
                <w:sz w:val="18"/>
                <w:szCs w:val="20"/>
              </w:rPr>
              <w:t xml:space="preserve">HR </w:t>
            </w:r>
          </w:p>
        </w:tc>
        <w:tc>
          <w:tcPr>
            <w:tcW w:w="363" w:type="pct"/>
            <w:tcBorders>
              <w:top w:val="double" w:sz="4" w:space="0" w:color="auto"/>
              <w:left w:val="single" w:sz="6" w:space="0" w:color="auto"/>
              <w:bottom w:val="double" w:sz="4" w:space="0" w:color="auto"/>
              <w:right w:val="single" w:sz="6" w:space="0" w:color="auto"/>
            </w:tcBorders>
            <w:vAlign w:val="center"/>
          </w:tcPr>
          <w:p w14:paraId="4CDF7269" w14:textId="038AF8A1" w:rsidR="006D5D4C" w:rsidRDefault="004741C7">
            <w:pPr>
              <w:spacing w:after="120"/>
              <w:jc w:val="center"/>
              <w:rPr>
                <w:rFonts w:cs="Times New Roman"/>
                <w:b/>
                <w:sz w:val="18"/>
                <w:szCs w:val="20"/>
              </w:rPr>
            </w:pPr>
            <w:r>
              <w:rPr>
                <w:b/>
                <w:sz w:val="18"/>
                <w:szCs w:val="20"/>
              </w:rPr>
              <w:t xml:space="preserve">IE  </w:t>
            </w:r>
          </w:p>
        </w:tc>
        <w:tc>
          <w:tcPr>
            <w:tcW w:w="468" w:type="pct"/>
            <w:tcBorders>
              <w:top w:val="double" w:sz="4" w:space="0" w:color="auto"/>
              <w:left w:val="single" w:sz="6" w:space="0" w:color="auto"/>
              <w:bottom w:val="double" w:sz="4" w:space="0" w:color="auto"/>
              <w:right w:val="single" w:sz="6" w:space="0" w:color="auto"/>
            </w:tcBorders>
            <w:vAlign w:val="center"/>
          </w:tcPr>
          <w:p w14:paraId="33350D52" w14:textId="3B8F7479" w:rsidR="006D5D4C" w:rsidRDefault="004741C7">
            <w:pPr>
              <w:spacing w:after="120"/>
              <w:jc w:val="center"/>
              <w:rPr>
                <w:rFonts w:cs="Times New Roman"/>
                <w:b/>
                <w:sz w:val="18"/>
                <w:szCs w:val="20"/>
              </w:rPr>
            </w:pPr>
            <w:r>
              <w:rPr>
                <w:b/>
                <w:sz w:val="18"/>
                <w:szCs w:val="20"/>
              </w:rPr>
              <w:t xml:space="preserve">IT </w:t>
            </w:r>
          </w:p>
        </w:tc>
        <w:tc>
          <w:tcPr>
            <w:tcW w:w="421" w:type="pct"/>
            <w:tcBorders>
              <w:top w:val="double" w:sz="4" w:space="0" w:color="auto"/>
              <w:left w:val="single" w:sz="6" w:space="0" w:color="auto"/>
              <w:bottom w:val="double" w:sz="4" w:space="0" w:color="auto"/>
              <w:right w:val="single" w:sz="6" w:space="0" w:color="auto"/>
            </w:tcBorders>
            <w:vAlign w:val="center"/>
            <w:hideMark/>
          </w:tcPr>
          <w:p w14:paraId="154CE134" w14:textId="0570DACF" w:rsidR="006D5D4C" w:rsidRDefault="004741C7">
            <w:pPr>
              <w:spacing w:after="120"/>
              <w:jc w:val="center"/>
              <w:rPr>
                <w:rFonts w:cs="Times New Roman"/>
                <w:b/>
                <w:sz w:val="18"/>
                <w:szCs w:val="20"/>
              </w:rPr>
            </w:pPr>
            <w:r>
              <w:rPr>
                <w:b/>
                <w:sz w:val="18"/>
                <w:szCs w:val="20"/>
              </w:rPr>
              <w:t>LV</w:t>
            </w:r>
          </w:p>
        </w:tc>
        <w:tc>
          <w:tcPr>
            <w:tcW w:w="421" w:type="pct"/>
            <w:tcBorders>
              <w:top w:val="double" w:sz="4" w:space="0" w:color="auto"/>
              <w:left w:val="single" w:sz="6" w:space="0" w:color="auto"/>
              <w:bottom w:val="double" w:sz="4" w:space="0" w:color="auto"/>
              <w:right w:val="single" w:sz="6" w:space="0" w:color="auto"/>
            </w:tcBorders>
            <w:vAlign w:val="center"/>
            <w:hideMark/>
          </w:tcPr>
          <w:p w14:paraId="41683645" w14:textId="5586F204" w:rsidR="006D5D4C" w:rsidRDefault="004741C7">
            <w:pPr>
              <w:spacing w:after="120"/>
              <w:jc w:val="center"/>
              <w:rPr>
                <w:rFonts w:cs="Times New Roman"/>
                <w:b/>
                <w:sz w:val="18"/>
                <w:szCs w:val="20"/>
              </w:rPr>
            </w:pPr>
            <w:r>
              <w:rPr>
                <w:b/>
                <w:sz w:val="18"/>
                <w:szCs w:val="20"/>
              </w:rPr>
              <w:t>LT</w:t>
            </w:r>
          </w:p>
        </w:tc>
      </w:tr>
      <w:tr w:rsidR="006D5D4C" w14:paraId="791660CB" w14:textId="247A0845" w:rsidTr="00DA5472">
        <w:trPr>
          <w:jc w:val="center"/>
        </w:trPr>
        <w:tc>
          <w:tcPr>
            <w:tcW w:w="292" w:type="pct"/>
            <w:tcBorders>
              <w:top w:val="double" w:sz="4" w:space="0" w:color="auto"/>
              <w:left w:val="double" w:sz="4" w:space="0" w:color="auto"/>
              <w:bottom w:val="single" w:sz="4" w:space="0" w:color="auto"/>
              <w:right w:val="single" w:sz="4" w:space="0" w:color="auto"/>
            </w:tcBorders>
          </w:tcPr>
          <w:p w14:paraId="1296BC23" w14:textId="77777777" w:rsidR="006D5D4C" w:rsidRDefault="006D5D4C">
            <w:pPr>
              <w:spacing w:after="120"/>
              <w:jc w:val="center"/>
              <w:rPr>
                <w:rFonts w:cs="Times New Roman"/>
                <w:sz w:val="18"/>
                <w:szCs w:val="20"/>
              </w:rPr>
            </w:pPr>
          </w:p>
        </w:tc>
        <w:tc>
          <w:tcPr>
            <w:tcW w:w="206" w:type="pct"/>
            <w:tcBorders>
              <w:top w:val="double" w:sz="4" w:space="0" w:color="auto"/>
              <w:left w:val="double" w:sz="4" w:space="0" w:color="auto"/>
              <w:bottom w:val="single" w:sz="4" w:space="0" w:color="auto"/>
              <w:right w:val="single" w:sz="4" w:space="0" w:color="auto"/>
            </w:tcBorders>
            <w:vAlign w:val="center"/>
          </w:tcPr>
          <w:p w14:paraId="1E56635A" w14:textId="4B76408A" w:rsidR="006D5D4C" w:rsidRDefault="006D5D4C">
            <w:pPr>
              <w:spacing w:after="120"/>
              <w:jc w:val="center"/>
              <w:rPr>
                <w:rFonts w:cs="Times New Roman"/>
                <w:sz w:val="18"/>
                <w:szCs w:val="20"/>
              </w:rPr>
            </w:pPr>
          </w:p>
        </w:tc>
        <w:tc>
          <w:tcPr>
            <w:tcW w:w="206" w:type="pct"/>
            <w:tcBorders>
              <w:top w:val="double" w:sz="4" w:space="0" w:color="auto"/>
              <w:left w:val="single" w:sz="4" w:space="0" w:color="auto"/>
              <w:bottom w:val="single" w:sz="4" w:space="0" w:color="auto"/>
              <w:right w:val="single" w:sz="4" w:space="0" w:color="auto"/>
            </w:tcBorders>
            <w:vAlign w:val="center"/>
          </w:tcPr>
          <w:p w14:paraId="732E2D64" w14:textId="77777777" w:rsidR="006D5D4C" w:rsidRDefault="006D5D4C">
            <w:pPr>
              <w:spacing w:after="120"/>
              <w:jc w:val="center"/>
              <w:rPr>
                <w:rFonts w:cs="Times New Roman"/>
                <w:sz w:val="18"/>
                <w:szCs w:val="20"/>
              </w:rPr>
            </w:pPr>
          </w:p>
        </w:tc>
        <w:tc>
          <w:tcPr>
            <w:tcW w:w="197" w:type="pct"/>
            <w:tcBorders>
              <w:top w:val="double" w:sz="4" w:space="0" w:color="auto"/>
              <w:left w:val="single" w:sz="4" w:space="0" w:color="auto"/>
              <w:bottom w:val="single" w:sz="4" w:space="0" w:color="auto"/>
              <w:right w:val="single" w:sz="4" w:space="0" w:color="auto"/>
            </w:tcBorders>
          </w:tcPr>
          <w:p w14:paraId="45D8469B" w14:textId="77777777" w:rsidR="006D5D4C" w:rsidRDefault="006D5D4C">
            <w:pPr>
              <w:spacing w:after="120"/>
              <w:jc w:val="center"/>
              <w:rPr>
                <w:rFonts w:cs="Times New Roman"/>
                <w:sz w:val="18"/>
                <w:szCs w:val="20"/>
              </w:rPr>
            </w:pPr>
          </w:p>
        </w:tc>
        <w:tc>
          <w:tcPr>
            <w:tcW w:w="261" w:type="pct"/>
            <w:tcBorders>
              <w:top w:val="double" w:sz="4" w:space="0" w:color="auto"/>
              <w:left w:val="single" w:sz="4" w:space="0" w:color="auto"/>
              <w:bottom w:val="single" w:sz="4" w:space="0" w:color="auto"/>
              <w:right w:val="single" w:sz="4" w:space="0" w:color="auto"/>
            </w:tcBorders>
            <w:vAlign w:val="center"/>
          </w:tcPr>
          <w:p w14:paraId="4D9040ED" w14:textId="047CE134" w:rsidR="006D5D4C" w:rsidRDefault="006D5D4C">
            <w:pPr>
              <w:spacing w:after="120"/>
              <w:jc w:val="center"/>
              <w:rPr>
                <w:rFonts w:cs="Times New Roman"/>
                <w:sz w:val="18"/>
                <w:szCs w:val="20"/>
              </w:rPr>
            </w:pPr>
          </w:p>
        </w:tc>
        <w:tc>
          <w:tcPr>
            <w:tcW w:w="195" w:type="pct"/>
            <w:tcBorders>
              <w:top w:val="double" w:sz="4" w:space="0" w:color="auto"/>
              <w:left w:val="single" w:sz="4" w:space="0" w:color="auto"/>
              <w:bottom w:val="single" w:sz="4" w:space="0" w:color="auto"/>
              <w:right w:val="single" w:sz="4" w:space="0" w:color="auto"/>
            </w:tcBorders>
          </w:tcPr>
          <w:p w14:paraId="653E0699" w14:textId="77777777" w:rsidR="006D5D4C" w:rsidRDefault="006D5D4C">
            <w:pPr>
              <w:spacing w:after="120"/>
              <w:jc w:val="center"/>
              <w:rPr>
                <w:rFonts w:cs="Times New Roman"/>
                <w:sz w:val="18"/>
                <w:szCs w:val="20"/>
              </w:rPr>
            </w:pPr>
          </w:p>
        </w:tc>
        <w:tc>
          <w:tcPr>
            <w:tcW w:w="267" w:type="pct"/>
            <w:tcBorders>
              <w:top w:val="double" w:sz="4" w:space="0" w:color="auto"/>
              <w:left w:val="single" w:sz="4" w:space="0" w:color="auto"/>
              <w:bottom w:val="single" w:sz="4" w:space="0" w:color="auto"/>
              <w:right w:val="single" w:sz="4" w:space="0" w:color="auto"/>
            </w:tcBorders>
            <w:vAlign w:val="center"/>
          </w:tcPr>
          <w:p w14:paraId="321797A5" w14:textId="028FE482" w:rsidR="006D5D4C" w:rsidRDefault="006D5D4C">
            <w:pPr>
              <w:spacing w:after="120"/>
              <w:jc w:val="center"/>
              <w:rPr>
                <w:rFonts w:cs="Times New Roman"/>
                <w:sz w:val="18"/>
                <w:szCs w:val="20"/>
              </w:rPr>
            </w:pPr>
          </w:p>
        </w:tc>
        <w:tc>
          <w:tcPr>
            <w:tcW w:w="238" w:type="pct"/>
            <w:tcBorders>
              <w:top w:val="double" w:sz="4" w:space="0" w:color="auto"/>
              <w:left w:val="single" w:sz="4" w:space="0" w:color="auto"/>
              <w:bottom w:val="single" w:sz="4" w:space="0" w:color="auto"/>
              <w:right w:val="single" w:sz="4" w:space="0" w:color="auto"/>
            </w:tcBorders>
            <w:vAlign w:val="center"/>
          </w:tcPr>
          <w:p w14:paraId="4E215CB9" w14:textId="77777777" w:rsidR="006D5D4C" w:rsidRDefault="006D5D4C">
            <w:pPr>
              <w:spacing w:after="120"/>
              <w:jc w:val="center"/>
              <w:rPr>
                <w:rFonts w:cs="Times New Roman"/>
                <w:sz w:val="18"/>
                <w:szCs w:val="20"/>
              </w:rPr>
            </w:pPr>
          </w:p>
        </w:tc>
        <w:tc>
          <w:tcPr>
            <w:tcW w:w="270" w:type="pct"/>
            <w:tcBorders>
              <w:top w:val="double" w:sz="4" w:space="0" w:color="auto"/>
              <w:left w:val="single" w:sz="4" w:space="0" w:color="auto"/>
              <w:bottom w:val="single" w:sz="4" w:space="0" w:color="auto"/>
              <w:right w:val="single" w:sz="4" w:space="0" w:color="auto"/>
            </w:tcBorders>
            <w:vAlign w:val="center"/>
          </w:tcPr>
          <w:p w14:paraId="70EEFF7E" w14:textId="77777777" w:rsidR="006D5D4C" w:rsidRDefault="006D5D4C">
            <w:pPr>
              <w:spacing w:after="120"/>
              <w:jc w:val="center"/>
              <w:rPr>
                <w:rFonts w:cs="Times New Roman"/>
                <w:sz w:val="18"/>
                <w:szCs w:val="20"/>
              </w:rPr>
            </w:pPr>
          </w:p>
        </w:tc>
        <w:tc>
          <w:tcPr>
            <w:tcW w:w="235" w:type="pct"/>
            <w:tcBorders>
              <w:top w:val="double" w:sz="4" w:space="0" w:color="auto"/>
              <w:left w:val="single" w:sz="4" w:space="0" w:color="auto"/>
              <w:bottom w:val="single" w:sz="4" w:space="0" w:color="auto"/>
              <w:right w:val="single" w:sz="4" w:space="0" w:color="auto"/>
            </w:tcBorders>
            <w:vAlign w:val="center"/>
          </w:tcPr>
          <w:p w14:paraId="1BCC8042" w14:textId="77777777" w:rsidR="006D5D4C" w:rsidRDefault="006D5D4C">
            <w:pPr>
              <w:spacing w:after="120"/>
              <w:jc w:val="center"/>
              <w:rPr>
                <w:rFonts w:cs="Times New Roman"/>
                <w:sz w:val="18"/>
                <w:szCs w:val="20"/>
              </w:rPr>
            </w:pPr>
          </w:p>
        </w:tc>
        <w:tc>
          <w:tcPr>
            <w:tcW w:w="200" w:type="pct"/>
            <w:tcBorders>
              <w:top w:val="double" w:sz="4" w:space="0" w:color="auto"/>
              <w:left w:val="single" w:sz="4" w:space="0" w:color="auto"/>
              <w:bottom w:val="single" w:sz="4" w:space="0" w:color="auto"/>
              <w:right w:val="single" w:sz="4" w:space="0" w:color="auto"/>
            </w:tcBorders>
          </w:tcPr>
          <w:p w14:paraId="6BB3CD23" w14:textId="77777777" w:rsidR="006D5D4C" w:rsidRDefault="006D5D4C">
            <w:pPr>
              <w:spacing w:after="120"/>
              <w:jc w:val="center"/>
              <w:rPr>
                <w:rFonts w:cs="Times New Roman"/>
                <w:sz w:val="18"/>
                <w:szCs w:val="20"/>
              </w:rPr>
            </w:pPr>
          </w:p>
        </w:tc>
        <w:tc>
          <w:tcPr>
            <w:tcW w:w="287" w:type="pct"/>
            <w:tcBorders>
              <w:top w:val="double" w:sz="4" w:space="0" w:color="auto"/>
              <w:left w:val="single" w:sz="4" w:space="0" w:color="auto"/>
              <w:bottom w:val="single" w:sz="4" w:space="0" w:color="auto"/>
              <w:right w:val="single" w:sz="4" w:space="0" w:color="auto"/>
            </w:tcBorders>
            <w:vAlign w:val="center"/>
          </w:tcPr>
          <w:p w14:paraId="0F6124A5" w14:textId="0DF0D8A4" w:rsidR="006D5D4C" w:rsidRDefault="006D5D4C">
            <w:pPr>
              <w:spacing w:after="120"/>
              <w:jc w:val="center"/>
              <w:rPr>
                <w:rFonts w:cs="Times New Roman"/>
                <w:sz w:val="18"/>
                <w:szCs w:val="20"/>
              </w:rPr>
            </w:pPr>
          </w:p>
        </w:tc>
        <w:tc>
          <w:tcPr>
            <w:tcW w:w="473" w:type="pct"/>
            <w:tcBorders>
              <w:top w:val="double" w:sz="4" w:space="0" w:color="auto"/>
              <w:left w:val="single" w:sz="4" w:space="0" w:color="auto"/>
              <w:bottom w:val="single" w:sz="4" w:space="0" w:color="auto"/>
              <w:right w:val="single" w:sz="4" w:space="0" w:color="auto"/>
            </w:tcBorders>
            <w:vAlign w:val="center"/>
          </w:tcPr>
          <w:p w14:paraId="1CC7780E" w14:textId="77777777" w:rsidR="006D5D4C" w:rsidRDefault="006D5D4C">
            <w:pPr>
              <w:spacing w:after="120"/>
              <w:jc w:val="center"/>
              <w:rPr>
                <w:rFonts w:cs="Times New Roman"/>
                <w:sz w:val="18"/>
                <w:szCs w:val="20"/>
              </w:rPr>
            </w:pPr>
          </w:p>
        </w:tc>
        <w:tc>
          <w:tcPr>
            <w:tcW w:w="363" w:type="pct"/>
            <w:tcBorders>
              <w:top w:val="double" w:sz="4" w:space="0" w:color="auto"/>
              <w:left w:val="single" w:sz="4" w:space="0" w:color="auto"/>
              <w:bottom w:val="single" w:sz="4" w:space="0" w:color="auto"/>
              <w:right w:val="single" w:sz="4" w:space="0" w:color="auto"/>
            </w:tcBorders>
            <w:vAlign w:val="center"/>
          </w:tcPr>
          <w:p w14:paraId="2B5567B6" w14:textId="77777777" w:rsidR="006D5D4C" w:rsidRDefault="006D5D4C">
            <w:pPr>
              <w:spacing w:after="120"/>
              <w:jc w:val="center"/>
              <w:rPr>
                <w:rFonts w:cs="Times New Roman"/>
                <w:sz w:val="18"/>
                <w:szCs w:val="20"/>
              </w:rPr>
            </w:pPr>
          </w:p>
        </w:tc>
        <w:tc>
          <w:tcPr>
            <w:tcW w:w="468" w:type="pct"/>
            <w:tcBorders>
              <w:top w:val="double" w:sz="4" w:space="0" w:color="auto"/>
              <w:left w:val="single" w:sz="4" w:space="0" w:color="auto"/>
              <w:bottom w:val="single" w:sz="4" w:space="0" w:color="auto"/>
              <w:right w:val="single" w:sz="4" w:space="0" w:color="auto"/>
            </w:tcBorders>
            <w:vAlign w:val="center"/>
          </w:tcPr>
          <w:p w14:paraId="0678748E" w14:textId="77777777" w:rsidR="006D5D4C" w:rsidRDefault="006D5D4C">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561C3158" w14:textId="77777777" w:rsidR="006D5D4C" w:rsidRDefault="006D5D4C">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129DDAEF" w14:textId="77777777" w:rsidR="006D5D4C" w:rsidRDefault="006D5D4C">
            <w:pPr>
              <w:spacing w:after="120"/>
              <w:jc w:val="center"/>
              <w:rPr>
                <w:rFonts w:cs="Times New Roman"/>
                <w:sz w:val="18"/>
                <w:szCs w:val="20"/>
              </w:rPr>
            </w:pPr>
          </w:p>
        </w:tc>
      </w:tr>
      <w:tr w:rsidR="006D5D4C" w14:paraId="5E51347D" w14:textId="130D80A7" w:rsidTr="00DA5472">
        <w:trPr>
          <w:jc w:val="center"/>
        </w:trPr>
        <w:tc>
          <w:tcPr>
            <w:tcW w:w="292" w:type="pct"/>
            <w:tcBorders>
              <w:top w:val="double" w:sz="4" w:space="0" w:color="auto"/>
              <w:left w:val="single" w:sz="6" w:space="0" w:color="auto"/>
              <w:bottom w:val="double" w:sz="4" w:space="0" w:color="auto"/>
              <w:right w:val="single" w:sz="6" w:space="0" w:color="auto"/>
            </w:tcBorders>
            <w:vAlign w:val="center"/>
          </w:tcPr>
          <w:p w14:paraId="402C09A7" w14:textId="3F90713C" w:rsidR="006D5D4C" w:rsidRDefault="004741C7">
            <w:pPr>
              <w:spacing w:after="120"/>
              <w:jc w:val="center"/>
              <w:rPr>
                <w:rFonts w:cs="Times New Roman"/>
                <w:b/>
                <w:sz w:val="18"/>
                <w:szCs w:val="20"/>
              </w:rPr>
            </w:pPr>
            <w:r>
              <w:rPr>
                <w:b/>
                <w:sz w:val="18"/>
                <w:szCs w:val="20"/>
              </w:rPr>
              <w:t>LU</w:t>
            </w:r>
          </w:p>
        </w:tc>
        <w:tc>
          <w:tcPr>
            <w:tcW w:w="206" w:type="pct"/>
            <w:tcBorders>
              <w:top w:val="double" w:sz="4" w:space="0" w:color="auto"/>
              <w:left w:val="single" w:sz="6" w:space="0" w:color="auto"/>
              <w:bottom w:val="double" w:sz="4" w:space="0" w:color="auto"/>
              <w:right w:val="single" w:sz="6" w:space="0" w:color="auto"/>
            </w:tcBorders>
            <w:vAlign w:val="center"/>
          </w:tcPr>
          <w:p w14:paraId="6A8C3C10" w14:textId="34FF73D9" w:rsidR="006D5D4C" w:rsidRDefault="004741C7">
            <w:pPr>
              <w:spacing w:after="120"/>
              <w:jc w:val="center"/>
              <w:rPr>
                <w:rFonts w:cs="Times New Roman"/>
                <w:b/>
                <w:sz w:val="18"/>
                <w:szCs w:val="20"/>
              </w:rPr>
            </w:pPr>
            <w:r>
              <w:rPr>
                <w:b/>
                <w:sz w:val="18"/>
                <w:szCs w:val="20"/>
              </w:rPr>
              <w:t>HU</w:t>
            </w:r>
          </w:p>
        </w:tc>
        <w:tc>
          <w:tcPr>
            <w:tcW w:w="206" w:type="pct"/>
            <w:tcBorders>
              <w:top w:val="double" w:sz="4" w:space="0" w:color="auto"/>
              <w:left w:val="single" w:sz="6" w:space="0" w:color="auto"/>
              <w:bottom w:val="double" w:sz="4" w:space="0" w:color="auto"/>
              <w:right w:val="single" w:sz="6" w:space="0" w:color="auto"/>
            </w:tcBorders>
            <w:vAlign w:val="center"/>
          </w:tcPr>
          <w:p w14:paraId="20E91672" w14:textId="470C10FE" w:rsidR="006D5D4C" w:rsidRDefault="004741C7">
            <w:pPr>
              <w:spacing w:after="120"/>
              <w:jc w:val="center"/>
              <w:rPr>
                <w:rFonts w:cs="Times New Roman"/>
                <w:b/>
                <w:sz w:val="18"/>
                <w:szCs w:val="20"/>
              </w:rPr>
            </w:pPr>
            <w:r>
              <w:rPr>
                <w:b/>
                <w:sz w:val="18"/>
                <w:szCs w:val="20"/>
              </w:rPr>
              <w:t>MT</w:t>
            </w:r>
          </w:p>
        </w:tc>
        <w:tc>
          <w:tcPr>
            <w:tcW w:w="197" w:type="pct"/>
            <w:tcBorders>
              <w:top w:val="double" w:sz="4" w:space="0" w:color="auto"/>
              <w:left w:val="single" w:sz="6" w:space="0" w:color="auto"/>
              <w:bottom w:val="double" w:sz="4" w:space="0" w:color="auto"/>
              <w:right w:val="single" w:sz="6" w:space="0" w:color="auto"/>
            </w:tcBorders>
            <w:vAlign w:val="center"/>
          </w:tcPr>
          <w:p w14:paraId="0ED39B48" w14:textId="3E3D2B23" w:rsidR="006D5D4C" w:rsidDel="004741C7" w:rsidRDefault="004741C7">
            <w:pPr>
              <w:spacing w:after="120"/>
              <w:jc w:val="center"/>
              <w:rPr>
                <w:rFonts w:cs="Times New Roman"/>
                <w:b/>
                <w:sz w:val="18"/>
                <w:szCs w:val="20"/>
              </w:rPr>
            </w:pPr>
            <w:r>
              <w:rPr>
                <w:b/>
                <w:sz w:val="18"/>
                <w:szCs w:val="20"/>
              </w:rPr>
              <w:t>NL</w:t>
            </w:r>
          </w:p>
        </w:tc>
        <w:tc>
          <w:tcPr>
            <w:tcW w:w="261" w:type="pct"/>
            <w:tcBorders>
              <w:top w:val="double" w:sz="4" w:space="0" w:color="auto"/>
              <w:left w:val="single" w:sz="6" w:space="0" w:color="auto"/>
              <w:bottom w:val="double" w:sz="4" w:space="0" w:color="auto"/>
              <w:right w:val="single" w:sz="6" w:space="0" w:color="auto"/>
            </w:tcBorders>
            <w:vAlign w:val="center"/>
          </w:tcPr>
          <w:p w14:paraId="290EC4B8" w14:textId="34F4ACDA" w:rsidR="006D5D4C" w:rsidRDefault="004741C7">
            <w:pPr>
              <w:spacing w:after="120"/>
              <w:jc w:val="center"/>
              <w:rPr>
                <w:rFonts w:cs="Times New Roman"/>
                <w:b/>
                <w:sz w:val="18"/>
                <w:szCs w:val="20"/>
              </w:rPr>
            </w:pPr>
            <w:r>
              <w:rPr>
                <w:b/>
                <w:sz w:val="18"/>
                <w:szCs w:val="20"/>
              </w:rPr>
              <w:t>PL</w:t>
            </w:r>
          </w:p>
        </w:tc>
        <w:tc>
          <w:tcPr>
            <w:tcW w:w="195" w:type="pct"/>
            <w:tcBorders>
              <w:top w:val="double" w:sz="4" w:space="0" w:color="auto"/>
              <w:left w:val="single" w:sz="6" w:space="0" w:color="auto"/>
              <w:bottom w:val="double" w:sz="4" w:space="0" w:color="auto"/>
              <w:right w:val="single" w:sz="6" w:space="0" w:color="auto"/>
            </w:tcBorders>
            <w:vAlign w:val="center"/>
          </w:tcPr>
          <w:p w14:paraId="0A1D2986" w14:textId="343BEF7A" w:rsidR="006D5D4C" w:rsidRDefault="004741C7">
            <w:pPr>
              <w:spacing w:after="120"/>
              <w:jc w:val="center"/>
              <w:rPr>
                <w:rFonts w:cs="Times New Roman"/>
                <w:b/>
                <w:sz w:val="18"/>
                <w:szCs w:val="20"/>
              </w:rPr>
            </w:pPr>
            <w:r>
              <w:rPr>
                <w:b/>
                <w:sz w:val="18"/>
                <w:szCs w:val="20"/>
              </w:rPr>
              <w:t>PT</w:t>
            </w:r>
          </w:p>
        </w:tc>
        <w:tc>
          <w:tcPr>
            <w:tcW w:w="267" w:type="pct"/>
            <w:tcBorders>
              <w:top w:val="double" w:sz="4" w:space="0" w:color="auto"/>
              <w:left w:val="single" w:sz="6" w:space="0" w:color="auto"/>
              <w:bottom w:val="double" w:sz="4" w:space="0" w:color="auto"/>
              <w:right w:val="single" w:sz="6" w:space="0" w:color="auto"/>
            </w:tcBorders>
            <w:vAlign w:val="center"/>
          </w:tcPr>
          <w:p w14:paraId="369D8E40" w14:textId="2997F319" w:rsidR="006D5D4C" w:rsidRDefault="004741C7">
            <w:pPr>
              <w:spacing w:after="120"/>
              <w:jc w:val="center"/>
              <w:rPr>
                <w:rFonts w:cs="Times New Roman"/>
                <w:b/>
                <w:sz w:val="18"/>
                <w:szCs w:val="20"/>
              </w:rPr>
            </w:pPr>
            <w:r>
              <w:rPr>
                <w:b/>
                <w:sz w:val="18"/>
                <w:szCs w:val="20"/>
              </w:rPr>
              <w:t>RO</w:t>
            </w:r>
          </w:p>
        </w:tc>
        <w:tc>
          <w:tcPr>
            <w:tcW w:w="238" w:type="pct"/>
            <w:tcBorders>
              <w:top w:val="double" w:sz="4" w:space="0" w:color="auto"/>
              <w:left w:val="single" w:sz="6" w:space="0" w:color="auto"/>
              <w:bottom w:val="double" w:sz="4" w:space="0" w:color="auto"/>
              <w:right w:val="single" w:sz="6" w:space="0" w:color="auto"/>
            </w:tcBorders>
            <w:vAlign w:val="center"/>
          </w:tcPr>
          <w:p w14:paraId="55670B0F" w14:textId="4555DFFF" w:rsidR="006D5D4C" w:rsidRDefault="004741C7">
            <w:pPr>
              <w:spacing w:after="120"/>
              <w:jc w:val="center"/>
              <w:rPr>
                <w:rFonts w:cs="Times New Roman"/>
                <w:b/>
                <w:sz w:val="18"/>
                <w:szCs w:val="20"/>
              </w:rPr>
            </w:pPr>
            <w:r>
              <w:rPr>
                <w:b/>
                <w:sz w:val="18"/>
                <w:szCs w:val="20"/>
              </w:rPr>
              <w:t>SI</w:t>
            </w:r>
          </w:p>
        </w:tc>
        <w:tc>
          <w:tcPr>
            <w:tcW w:w="270" w:type="pct"/>
            <w:tcBorders>
              <w:top w:val="double" w:sz="4" w:space="0" w:color="auto"/>
              <w:left w:val="single" w:sz="6" w:space="0" w:color="auto"/>
              <w:bottom w:val="double" w:sz="4" w:space="0" w:color="auto"/>
              <w:right w:val="single" w:sz="6" w:space="0" w:color="auto"/>
            </w:tcBorders>
            <w:vAlign w:val="center"/>
          </w:tcPr>
          <w:p w14:paraId="6D20282C" w14:textId="0A7F1248" w:rsidR="006D5D4C" w:rsidRDefault="004741C7">
            <w:pPr>
              <w:spacing w:after="120"/>
              <w:jc w:val="center"/>
              <w:rPr>
                <w:rFonts w:cs="Times New Roman"/>
                <w:b/>
                <w:sz w:val="18"/>
                <w:szCs w:val="20"/>
              </w:rPr>
            </w:pPr>
            <w:r>
              <w:rPr>
                <w:b/>
                <w:sz w:val="18"/>
                <w:szCs w:val="20"/>
              </w:rPr>
              <w:t>SK</w:t>
            </w:r>
          </w:p>
        </w:tc>
        <w:tc>
          <w:tcPr>
            <w:tcW w:w="235" w:type="pct"/>
            <w:tcBorders>
              <w:top w:val="double" w:sz="4" w:space="0" w:color="auto"/>
              <w:left w:val="single" w:sz="6" w:space="0" w:color="auto"/>
              <w:bottom w:val="double" w:sz="4" w:space="0" w:color="auto"/>
              <w:right w:val="single" w:sz="6" w:space="0" w:color="auto"/>
            </w:tcBorders>
            <w:vAlign w:val="center"/>
          </w:tcPr>
          <w:p w14:paraId="05B20524" w14:textId="47ED0310" w:rsidR="006D5D4C" w:rsidRDefault="004741C7">
            <w:pPr>
              <w:spacing w:after="120"/>
              <w:jc w:val="center"/>
              <w:rPr>
                <w:rFonts w:cs="Times New Roman"/>
                <w:b/>
                <w:sz w:val="18"/>
                <w:szCs w:val="20"/>
              </w:rPr>
            </w:pPr>
            <w:r>
              <w:rPr>
                <w:b/>
                <w:sz w:val="18"/>
                <w:szCs w:val="20"/>
              </w:rPr>
              <w:t>SE</w:t>
            </w:r>
          </w:p>
        </w:tc>
        <w:tc>
          <w:tcPr>
            <w:tcW w:w="200" w:type="pct"/>
            <w:tcBorders>
              <w:top w:val="double" w:sz="4" w:space="0" w:color="auto"/>
              <w:left w:val="single" w:sz="6" w:space="0" w:color="auto"/>
              <w:bottom w:val="double" w:sz="4" w:space="0" w:color="auto"/>
              <w:right w:val="single" w:sz="6" w:space="0" w:color="auto"/>
            </w:tcBorders>
          </w:tcPr>
          <w:p w14:paraId="672AA84F" w14:textId="47FDD834" w:rsidR="006D5D4C" w:rsidRDefault="004741C7">
            <w:pPr>
              <w:spacing w:after="120"/>
              <w:jc w:val="center"/>
              <w:rPr>
                <w:rFonts w:cs="Times New Roman"/>
                <w:b/>
                <w:sz w:val="18"/>
                <w:szCs w:val="20"/>
              </w:rPr>
            </w:pPr>
            <w:r>
              <w:rPr>
                <w:b/>
                <w:sz w:val="18"/>
                <w:szCs w:val="20"/>
              </w:rPr>
              <w:t>UK</w:t>
            </w:r>
          </w:p>
        </w:tc>
        <w:tc>
          <w:tcPr>
            <w:tcW w:w="287" w:type="pct"/>
            <w:tcBorders>
              <w:top w:val="double" w:sz="4" w:space="0" w:color="auto"/>
              <w:left w:val="single" w:sz="6" w:space="0" w:color="auto"/>
              <w:bottom w:val="double" w:sz="4" w:space="0" w:color="auto"/>
              <w:right w:val="single" w:sz="6" w:space="0" w:color="auto"/>
            </w:tcBorders>
          </w:tcPr>
          <w:p w14:paraId="197BF1CC" w14:textId="6A9B4B69" w:rsidR="006D5D4C" w:rsidRDefault="004741C7">
            <w:pPr>
              <w:spacing w:after="120"/>
              <w:jc w:val="center"/>
              <w:rPr>
                <w:rFonts w:cs="Times New Roman"/>
                <w:b/>
                <w:sz w:val="18"/>
                <w:szCs w:val="20"/>
              </w:rPr>
            </w:pPr>
            <w:r>
              <w:rPr>
                <w:b/>
                <w:sz w:val="18"/>
                <w:szCs w:val="20"/>
              </w:rPr>
              <w:t xml:space="preserve">Islandija </w:t>
            </w:r>
          </w:p>
        </w:tc>
        <w:tc>
          <w:tcPr>
            <w:tcW w:w="473" w:type="pct"/>
            <w:tcBorders>
              <w:top w:val="double" w:sz="4" w:space="0" w:color="auto"/>
              <w:left w:val="single" w:sz="6" w:space="0" w:color="auto"/>
              <w:bottom w:val="double" w:sz="4" w:space="0" w:color="auto"/>
              <w:right w:val="single" w:sz="6" w:space="0" w:color="auto"/>
            </w:tcBorders>
            <w:vAlign w:val="center"/>
          </w:tcPr>
          <w:p w14:paraId="42F7F008" w14:textId="62A8E9BD" w:rsidR="006D5D4C" w:rsidRDefault="004741C7">
            <w:pPr>
              <w:spacing w:after="120"/>
              <w:jc w:val="center"/>
              <w:rPr>
                <w:rFonts w:cs="Times New Roman"/>
                <w:b/>
                <w:sz w:val="18"/>
                <w:szCs w:val="20"/>
              </w:rPr>
            </w:pPr>
            <w:r>
              <w:rPr>
                <w:b/>
                <w:sz w:val="18"/>
                <w:szCs w:val="20"/>
              </w:rPr>
              <w:t>Lichtenšteinas</w:t>
            </w:r>
          </w:p>
        </w:tc>
        <w:tc>
          <w:tcPr>
            <w:tcW w:w="363" w:type="pct"/>
            <w:tcBorders>
              <w:top w:val="double" w:sz="4" w:space="0" w:color="auto"/>
              <w:left w:val="single" w:sz="6" w:space="0" w:color="auto"/>
              <w:bottom w:val="double" w:sz="4" w:space="0" w:color="auto"/>
              <w:right w:val="single" w:sz="6" w:space="0" w:color="auto"/>
            </w:tcBorders>
            <w:vAlign w:val="center"/>
          </w:tcPr>
          <w:p w14:paraId="3CC04357" w14:textId="051BD566" w:rsidR="006D5D4C" w:rsidRDefault="004741C7">
            <w:pPr>
              <w:spacing w:after="120"/>
              <w:jc w:val="center"/>
              <w:rPr>
                <w:rFonts w:cs="Times New Roman"/>
                <w:b/>
                <w:sz w:val="18"/>
                <w:szCs w:val="20"/>
              </w:rPr>
            </w:pPr>
            <w:r>
              <w:rPr>
                <w:b/>
                <w:sz w:val="18"/>
                <w:szCs w:val="20"/>
              </w:rPr>
              <w:t>Norvegija</w:t>
            </w:r>
          </w:p>
        </w:tc>
        <w:tc>
          <w:tcPr>
            <w:tcW w:w="468" w:type="pct"/>
            <w:tcBorders>
              <w:top w:val="double" w:sz="4" w:space="0" w:color="auto"/>
              <w:left w:val="single" w:sz="6" w:space="0" w:color="auto"/>
              <w:bottom w:val="double" w:sz="4" w:space="0" w:color="auto"/>
              <w:right w:val="single" w:sz="6" w:space="0" w:color="auto"/>
            </w:tcBorders>
            <w:vAlign w:val="center"/>
          </w:tcPr>
          <w:p w14:paraId="36E431AE" w14:textId="17D66673" w:rsidR="006D5D4C" w:rsidRDefault="004741C7">
            <w:pPr>
              <w:spacing w:after="120"/>
              <w:jc w:val="center"/>
              <w:rPr>
                <w:rFonts w:cs="Times New Roman"/>
                <w:b/>
                <w:sz w:val="18"/>
                <w:szCs w:val="20"/>
              </w:rPr>
            </w:pPr>
            <w:r>
              <w:rPr>
                <w:b/>
                <w:sz w:val="18"/>
                <w:szCs w:val="20"/>
              </w:rPr>
              <w:t>Šveicarija</w:t>
            </w:r>
          </w:p>
        </w:tc>
        <w:tc>
          <w:tcPr>
            <w:tcW w:w="421" w:type="pct"/>
            <w:tcBorders>
              <w:top w:val="double" w:sz="4" w:space="0" w:color="auto"/>
              <w:left w:val="single" w:sz="6" w:space="0" w:color="auto"/>
              <w:bottom w:val="double" w:sz="4" w:space="0" w:color="auto"/>
              <w:right w:val="single" w:sz="6" w:space="0" w:color="auto"/>
            </w:tcBorders>
          </w:tcPr>
          <w:p w14:paraId="6B52A837" w14:textId="17250CB1" w:rsidR="006D5D4C" w:rsidRDefault="004741C7">
            <w:pPr>
              <w:spacing w:after="120"/>
              <w:jc w:val="center"/>
              <w:rPr>
                <w:rFonts w:cs="Times New Roman"/>
                <w:b/>
                <w:sz w:val="18"/>
                <w:szCs w:val="20"/>
              </w:rPr>
            </w:pPr>
            <w:r>
              <w:rPr>
                <w:b/>
                <w:sz w:val="18"/>
                <w:szCs w:val="20"/>
              </w:rPr>
              <w:t>Kita</w:t>
            </w:r>
          </w:p>
        </w:tc>
        <w:tc>
          <w:tcPr>
            <w:tcW w:w="421" w:type="pct"/>
            <w:tcBorders>
              <w:top w:val="double" w:sz="4" w:space="0" w:color="auto"/>
              <w:left w:val="single" w:sz="6" w:space="0" w:color="auto"/>
              <w:bottom w:val="double" w:sz="4" w:space="0" w:color="auto"/>
              <w:right w:val="double" w:sz="4" w:space="0" w:color="auto"/>
            </w:tcBorders>
            <w:vAlign w:val="center"/>
          </w:tcPr>
          <w:p w14:paraId="5D0C352C" w14:textId="03649DA6" w:rsidR="006D5D4C" w:rsidRDefault="006D5D4C">
            <w:pPr>
              <w:spacing w:after="120"/>
              <w:jc w:val="center"/>
              <w:rPr>
                <w:rFonts w:cs="Times New Roman"/>
                <w:b/>
                <w:sz w:val="18"/>
                <w:szCs w:val="20"/>
              </w:rPr>
            </w:pPr>
          </w:p>
        </w:tc>
      </w:tr>
      <w:tr w:rsidR="006D5D4C" w14:paraId="0BF5BFD0" w14:textId="7F0C28A5" w:rsidTr="00DA5472">
        <w:trPr>
          <w:jc w:val="center"/>
        </w:trPr>
        <w:tc>
          <w:tcPr>
            <w:tcW w:w="292" w:type="pct"/>
            <w:tcBorders>
              <w:top w:val="double" w:sz="4" w:space="0" w:color="auto"/>
              <w:left w:val="double" w:sz="4" w:space="0" w:color="auto"/>
              <w:bottom w:val="single" w:sz="4" w:space="0" w:color="auto"/>
              <w:right w:val="single" w:sz="4" w:space="0" w:color="auto"/>
            </w:tcBorders>
          </w:tcPr>
          <w:p w14:paraId="343DD3AF" w14:textId="77777777" w:rsidR="006D5D4C" w:rsidRDefault="006D5D4C">
            <w:pPr>
              <w:spacing w:after="120"/>
              <w:jc w:val="center"/>
              <w:rPr>
                <w:rFonts w:cs="Times New Roman"/>
                <w:sz w:val="18"/>
                <w:szCs w:val="20"/>
              </w:rPr>
            </w:pPr>
          </w:p>
        </w:tc>
        <w:tc>
          <w:tcPr>
            <w:tcW w:w="206" w:type="pct"/>
            <w:tcBorders>
              <w:top w:val="double" w:sz="4" w:space="0" w:color="auto"/>
              <w:left w:val="double" w:sz="4" w:space="0" w:color="auto"/>
              <w:bottom w:val="single" w:sz="4" w:space="0" w:color="auto"/>
              <w:right w:val="single" w:sz="4" w:space="0" w:color="auto"/>
            </w:tcBorders>
          </w:tcPr>
          <w:p w14:paraId="6C578B61" w14:textId="747B2B6C" w:rsidR="006D5D4C" w:rsidRDefault="006D5D4C">
            <w:pPr>
              <w:spacing w:after="120"/>
              <w:jc w:val="center"/>
              <w:rPr>
                <w:rFonts w:cs="Times New Roman"/>
                <w:sz w:val="18"/>
                <w:szCs w:val="20"/>
              </w:rPr>
            </w:pPr>
          </w:p>
        </w:tc>
        <w:tc>
          <w:tcPr>
            <w:tcW w:w="206" w:type="pct"/>
            <w:tcBorders>
              <w:top w:val="double" w:sz="4" w:space="0" w:color="auto"/>
              <w:left w:val="single" w:sz="4" w:space="0" w:color="auto"/>
              <w:bottom w:val="single" w:sz="4" w:space="0" w:color="auto"/>
              <w:right w:val="single" w:sz="4" w:space="0" w:color="auto"/>
            </w:tcBorders>
            <w:vAlign w:val="center"/>
          </w:tcPr>
          <w:p w14:paraId="758AFE9F" w14:textId="77777777" w:rsidR="006D5D4C" w:rsidRDefault="006D5D4C">
            <w:pPr>
              <w:spacing w:after="120"/>
              <w:jc w:val="center"/>
              <w:rPr>
                <w:rFonts w:cs="Times New Roman"/>
                <w:sz w:val="18"/>
                <w:szCs w:val="20"/>
              </w:rPr>
            </w:pPr>
          </w:p>
        </w:tc>
        <w:tc>
          <w:tcPr>
            <w:tcW w:w="197" w:type="pct"/>
            <w:tcBorders>
              <w:top w:val="double" w:sz="4" w:space="0" w:color="auto"/>
              <w:left w:val="single" w:sz="4" w:space="0" w:color="auto"/>
              <w:bottom w:val="single" w:sz="4" w:space="0" w:color="auto"/>
              <w:right w:val="single" w:sz="4" w:space="0" w:color="auto"/>
            </w:tcBorders>
          </w:tcPr>
          <w:p w14:paraId="72BDC9C9" w14:textId="77777777" w:rsidR="006D5D4C" w:rsidRDefault="006D5D4C">
            <w:pPr>
              <w:spacing w:after="120"/>
              <w:jc w:val="center"/>
              <w:rPr>
                <w:rFonts w:cs="Times New Roman"/>
                <w:sz w:val="18"/>
                <w:szCs w:val="20"/>
              </w:rPr>
            </w:pPr>
          </w:p>
        </w:tc>
        <w:tc>
          <w:tcPr>
            <w:tcW w:w="261" w:type="pct"/>
            <w:tcBorders>
              <w:top w:val="double" w:sz="4" w:space="0" w:color="auto"/>
              <w:left w:val="single" w:sz="4" w:space="0" w:color="auto"/>
              <w:bottom w:val="single" w:sz="4" w:space="0" w:color="auto"/>
              <w:right w:val="single" w:sz="4" w:space="0" w:color="auto"/>
            </w:tcBorders>
            <w:vAlign w:val="center"/>
          </w:tcPr>
          <w:p w14:paraId="705719A9" w14:textId="66F8D2D9" w:rsidR="006D5D4C" w:rsidRDefault="006D5D4C">
            <w:pPr>
              <w:spacing w:after="120"/>
              <w:jc w:val="center"/>
              <w:rPr>
                <w:rFonts w:cs="Times New Roman"/>
                <w:sz w:val="18"/>
                <w:szCs w:val="20"/>
              </w:rPr>
            </w:pPr>
          </w:p>
        </w:tc>
        <w:tc>
          <w:tcPr>
            <w:tcW w:w="195" w:type="pct"/>
            <w:tcBorders>
              <w:top w:val="double" w:sz="4" w:space="0" w:color="auto"/>
              <w:left w:val="single" w:sz="4" w:space="0" w:color="auto"/>
              <w:bottom w:val="single" w:sz="4" w:space="0" w:color="auto"/>
              <w:right w:val="single" w:sz="4" w:space="0" w:color="auto"/>
            </w:tcBorders>
          </w:tcPr>
          <w:p w14:paraId="62A7AB45" w14:textId="77777777" w:rsidR="006D5D4C" w:rsidRDefault="006D5D4C">
            <w:pPr>
              <w:spacing w:after="120"/>
              <w:jc w:val="center"/>
              <w:rPr>
                <w:rFonts w:cs="Times New Roman"/>
                <w:sz w:val="18"/>
                <w:szCs w:val="20"/>
              </w:rPr>
            </w:pPr>
          </w:p>
        </w:tc>
        <w:tc>
          <w:tcPr>
            <w:tcW w:w="267" w:type="pct"/>
            <w:tcBorders>
              <w:top w:val="double" w:sz="4" w:space="0" w:color="auto"/>
              <w:left w:val="single" w:sz="4" w:space="0" w:color="auto"/>
              <w:bottom w:val="single" w:sz="4" w:space="0" w:color="auto"/>
              <w:right w:val="single" w:sz="4" w:space="0" w:color="auto"/>
            </w:tcBorders>
            <w:vAlign w:val="center"/>
          </w:tcPr>
          <w:p w14:paraId="58806AFE" w14:textId="1BCEABF6" w:rsidR="006D5D4C" w:rsidRDefault="006D5D4C">
            <w:pPr>
              <w:spacing w:after="120"/>
              <w:jc w:val="center"/>
              <w:rPr>
                <w:rFonts w:cs="Times New Roman"/>
                <w:sz w:val="18"/>
                <w:szCs w:val="20"/>
              </w:rPr>
            </w:pPr>
          </w:p>
        </w:tc>
        <w:tc>
          <w:tcPr>
            <w:tcW w:w="238" w:type="pct"/>
            <w:tcBorders>
              <w:top w:val="double" w:sz="4" w:space="0" w:color="auto"/>
              <w:left w:val="single" w:sz="4" w:space="0" w:color="auto"/>
              <w:bottom w:val="single" w:sz="4" w:space="0" w:color="auto"/>
              <w:right w:val="single" w:sz="4" w:space="0" w:color="auto"/>
            </w:tcBorders>
            <w:vAlign w:val="center"/>
          </w:tcPr>
          <w:p w14:paraId="51958331" w14:textId="77777777" w:rsidR="006D5D4C" w:rsidRDefault="006D5D4C">
            <w:pPr>
              <w:spacing w:after="120"/>
              <w:jc w:val="center"/>
              <w:rPr>
                <w:rFonts w:cs="Times New Roman"/>
                <w:sz w:val="18"/>
                <w:szCs w:val="20"/>
              </w:rPr>
            </w:pPr>
          </w:p>
        </w:tc>
        <w:tc>
          <w:tcPr>
            <w:tcW w:w="270" w:type="pct"/>
            <w:tcBorders>
              <w:top w:val="double" w:sz="4" w:space="0" w:color="auto"/>
              <w:left w:val="single" w:sz="4" w:space="0" w:color="auto"/>
              <w:bottom w:val="single" w:sz="4" w:space="0" w:color="auto"/>
              <w:right w:val="single" w:sz="4" w:space="0" w:color="auto"/>
            </w:tcBorders>
            <w:vAlign w:val="center"/>
          </w:tcPr>
          <w:p w14:paraId="6FD6BE5F" w14:textId="77777777" w:rsidR="006D5D4C" w:rsidRDefault="006D5D4C">
            <w:pPr>
              <w:spacing w:after="120"/>
              <w:jc w:val="center"/>
              <w:rPr>
                <w:rFonts w:cs="Times New Roman"/>
                <w:sz w:val="18"/>
                <w:szCs w:val="20"/>
              </w:rPr>
            </w:pPr>
          </w:p>
        </w:tc>
        <w:tc>
          <w:tcPr>
            <w:tcW w:w="235" w:type="pct"/>
            <w:tcBorders>
              <w:top w:val="double" w:sz="4" w:space="0" w:color="auto"/>
              <w:left w:val="single" w:sz="4" w:space="0" w:color="auto"/>
              <w:bottom w:val="single" w:sz="4" w:space="0" w:color="auto"/>
              <w:right w:val="single" w:sz="4" w:space="0" w:color="auto"/>
            </w:tcBorders>
            <w:vAlign w:val="center"/>
          </w:tcPr>
          <w:p w14:paraId="1C523EF8" w14:textId="77777777" w:rsidR="006D5D4C" w:rsidRDefault="006D5D4C">
            <w:pPr>
              <w:spacing w:after="120"/>
              <w:jc w:val="center"/>
              <w:rPr>
                <w:rFonts w:cs="Times New Roman"/>
                <w:sz w:val="18"/>
                <w:szCs w:val="20"/>
              </w:rPr>
            </w:pPr>
          </w:p>
        </w:tc>
        <w:tc>
          <w:tcPr>
            <w:tcW w:w="200" w:type="pct"/>
            <w:tcBorders>
              <w:top w:val="double" w:sz="4" w:space="0" w:color="auto"/>
              <w:left w:val="single" w:sz="4" w:space="0" w:color="auto"/>
              <w:bottom w:val="single" w:sz="4" w:space="0" w:color="auto"/>
              <w:right w:val="single" w:sz="4" w:space="0" w:color="auto"/>
            </w:tcBorders>
          </w:tcPr>
          <w:p w14:paraId="76D2F45E" w14:textId="77777777" w:rsidR="006D5D4C" w:rsidRDefault="006D5D4C">
            <w:pPr>
              <w:spacing w:after="120"/>
              <w:jc w:val="center"/>
              <w:rPr>
                <w:rFonts w:cs="Times New Roman"/>
                <w:sz w:val="18"/>
                <w:szCs w:val="20"/>
              </w:rPr>
            </w:pPr>
          </w:p>
        </w:tc>
        <w:tc>
          <w:tcPr>
            <w:tcW w:w="287" w:type="pct"/>
            <w:tcBorders>
              <w:top w:val="double" w:sz="4" w:space="0" w:color="auto"/>
              <w:left w:val="single" w:sz="4" w:space="0" w:color="auto"/>
              <w:bottom w:val="single" w:sz="4" w:space="0" w:color="auto"/>
              <w:right w:val="single" w:sz="4" w:space="0" w:color="auto"/>
            </w:tcBorders>
            <w:vAlign w:val="center"/>
          </w:tcPr>
          <w:p w14:paraId="1A467EB2" w14:textId="6A87CD11" w:rsidR="006D5D4C" w:rsidRDefault="006D5D4C">
            <w:pPr>
              <w:spacing w:after="120"/>
              <w:jc w:val="center"/>
              <w:rPr>
                <w:rFonts w:cs="Times New Roman"/>
                <w:sz w:val="18"/>
                <w:szCs w:val="20"/>
              </w:rPr>
            </w:pPr>
          </w:p>
        </w:tc>
        <w:tc>
          <w:tcPr>
            <w:tcW w:w="473" w:type="pct"/>
            <w:tcBorders>
              <w:top w:val="double" w:sz="4" w:space="0" w:color="auto"/>
              <w:left w:val="single" w:sz="4" w:space="0" w:color="auto"/>
              <w:bottom w:val="single" w:sz="4" w:space="0" w:color="auto"/>
              <w:right w:val="single" w:sz="4" w:space="0" w:color="auto"/>
            </w:tcBorders>
            <w:vAlign w:val="center"/>
          </w:tcPr>
          <w:p w14:paraId="1D773AE6" w14:textId="77777777" w:rsidR="006D5D4C" w:rsidRDefault="006D5D4C">
            <w:pPr>
              <w:spacing w:after="120"/>
              <w:jc w:val="center"/>
              <w:rPr>
                <w:rFonts w:cs="Times New Roman"/>
                <w:sz w:val="18"/>
                <w:szCs w:val="20"/>
              </w:rPr>
            </w:pPr>
          </w:p>
        </w:tc>
        <w:tc>
          <w:tcPr>
            <w:tcW w:w="363" w:type="pct"/>
            <w:tcBorders>
              <w:top w:val="double" w:sz="4" w:space="0" w:color="auto"/>
              <w:left w:val="single" w:sz="4" w:space="0" w:color="auto"/>
              <w:bottom w:val="single" w:sz="4" w:space="0" w:color="auto"/>
              <w:right w:val="single" w:sz="4" w:space="0" w:color="auto"/>
            </w:tcBorders>
            <w:vAlign w:val="center"/>
          </w:tcPr>
          <w:p w14:paraId="021B40EE" w14:textId="77777777" w:rsidR="006D5D4C" w:rsidRDefault="006D5D4C">
            <w:pPr>
              <w:spacing w:after="120"/>
              <w:jc w:val="center"/>
              <w:rPr>
                <w:rFonts w:cs="Times New Roman"/>
                <w:sz w:val="18"/>
                <w:szCs w:val="20"/>
              </w:rPr>
            </w:pPr>
          </w:p>
        </w:tc>
        <w:tc>
          <w:tcPr>
            <w:tcW w:w="468" w:type="pct"/>
            <w:tcBorders>
              <w:top w:val="double" w:sz="4" w:space="0" w:color="auto"/>
              <w:left w:val="single" w:sz="4" w:space="0" w:color="auto"/>
              <w:bottom w:val="single" w:sz="4" w:space="0" w:color="auto"/>
              <w:right w:val="single" w:sz="4" w:space="0" w:color="auto"/>
            </w:tcBorders>
            <w:vAlign w:val="center"/>
          </w:tcPr>
          <w:p w14:paraId="6A96A6DA" w14:textId="77777777" w:rsidR="006D5D4C" w:rsidRDefault="006D5D4C">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308BE279" w14:textId="77777777" w:rsidR="006D5D4C" w:rsidRDefault="006D5D4C">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double" w:sz="4" w:space="0" w:color="auto"/>
            </w:tcBorders>
            <w:vAlign w:val="center"/>
          </w:tcPr>
          <w:p w14:paraId="017C0E4F" w14:textId="77777777" w:rsidR="006D5D4C" w:rsidRDefault="006D5D4C">
            <w:pPr>
              <w:spacing w:after="120"/>
              <w:jc w:val="center"/>
              <w:rPr>
                <w:rFonts w:cs="Times New Roman"/>
                <w:sz w:val="18"/>
                <w:szCs w:val="20"/>
              </w:rPr>
            </w:pPr>
          </w:p>
        </w:tc>
      </w:tr>
    </w:tbl>
    <w:p w14:paraId="219C8C33" w14:textId="77777777" w:rsidR="006D5D4C" w:rsidRDefault="006D5D4C">
      <w:pPr>
        <w:pStyle w:val="ListParagraph"/>
        <w:ind w:left="0"/>
        <w:rPr>
          <w:rFonts w:asciiTheme="minorHAnsi" w:hAnsiTheme="minorHAnsi" w:cstheme="minorBidi"/>
        </w:rPr>
      </w:pPr>
    </w:p>
    <w:p w14:paraId="512DBE5F" w14:textId="621EE1F9" w:rsidR="006D5D4C" w:rsidRDefault="00E01D5F">
      <w:pPr>
        <w:pStyle w:val="ListParagraph"/>
        <w:numPr>
          <w:ilvl w:val="0"/>
          <w:numId w:val="36"/>
        </w:numPr>
      </w:pPr>
      <w:r>
        <w:t xml:space="preserve">Nurodykite, kurioje šalyje (-se) Jūsų bendrovė nuolat parduoda produktus ir (arba) paslaugas: </w:t>
      </w:r>
    </w:p>
    <w:p w14:paraId="16A8BB06" w14:textId="77777777" w:rsidR="006D5D4C" w:rsidDel="00484557" w:rsidRDefault="006D5D4C">
      <w:pPr>
        <w:pStyle w:val="ListParagraph"/>
        <w:ind w:left="0"/>
      </w:pP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448"/>
        <w:gridCol w:w="463"/>
        <w:gridCol w:w="411"/>
        <w:gridCol w:w="398"/>
        <w:gridCol w:w="418"/>
        <w:gridCol w:w="440"/>
        <w:gridCol w:w="392"/>
        <w:gridCol w:w="400"/>
        <w:gridCol w:w="389"/>
        <w:gridCol w:w="432"/>
        <w:gridCol w:w="842"/>
        <w:gridCol w:w="1285"/>
        <w:gridCol w:w="936"/>
        <w:gridCol w:w="929"/>
        <w:gridCol w:w="510"/>
        <w:gridCol w:w="382"/>
      </w:tblGrid>
      <w:tr w:rsidR="006D5D4C" w14:paraId="3DFE7151" w14:textId="77777777" w:rsidTr="00711EA7">
        <w:trPr>
          <w:jc w:val="center"/>
        </w:trPr>
        <w:tc>
          <w:tcPr>
            <w:tcW w:w="292" w:type="pct"/>
            <w:tcBorders>
              <w:top w:val="double" w:sz="4" w:space="0" w:color="auto"/>
              <w:left w:val="single" w:sz="6" w:space="0" w:color="auto"/>
              <w:bottom w:val="double" w:sz="4" w:space="0" w:color="auto"/>
              <w:right w:val="single" w:sz="6" w:space="0" w:color="auto"/>
            </w:tcBorders>
          </w:tcPr>
          <w:p w14:paraId="092213D0" w14:textId="77777777" w:rsidR="006D5D4C" w:rsidRDefault="003C3368">
            <w:pPr>
              <w:spacing w:after="120"/>
              <w:jc w:val="center"/>
              <w:rPr>
                <w:rFonts w:cs="Times New Roman"/>
                <w:b/>
                <w:sz w:val="18"/>
                <w:szCs w:val="20"/>
              </w:rPr>
            </w:pPr>
            <w:r>
              <w:rPr>
                <w:b/>
                <w:sz w:val="18"/>
                <w:szCs w:val="20"/>
              </w:rPr>
              <w:t>AT</w:t>
            </w:r>
          </w:p>
        </w:tc>
        <w:tc>
          <w:tcPr>
            <w:tcW w:w="206" w:type="pct"/>
            <w:tcBorders>
              <w:top w:val="double" w:sz="4" w:space="0" w:color="auto"/>
              <w:left w:val="single" w:sz="6" w:space="0" w:color="auto"/>
              <w:bottom w:val="double" w:sz="4" w:space="0" w:color="auto"/>
              <w:right w:val="single" w:sz="6" w:space="0" w:color="auto"/>
            </w:tcBorders>
            <w:vAlign w:val="center"/>
            <w:hideMark/>
          </w:tcPr>
          <w:p w14:paraId="7B5ED8FE" w14:textId="77777777" w:rsidR="006D5D4C" w:rsidRDefault="003C3368">
            <w:pPr>
              <w:spacing w:after="120"/>
              <w:jc w:val="center"/>
              <w:rPr>
                <w:rFonts w:cs="Times New Roman"/>
                <w:sz w:val="18"/>
                <w:szCs w:val="20"/>
              </w:rPr>
            </w:pPr>
            <w:r>
              <w:rPr>
                <w:b/>
                <w:sz w:val="18"/>
                <w:szCs w:val="20"/>
              </w:rPr>
              <w:t>BE</w:t>
            </w:r>
          </w:p>
        </w:tc>
        <w:tc>
          <w:tcPr>
            <w:tcW w:w="206" w:type="pct"/>
            <w:tcBorders>
              <w:top w:val="double" w:sz="4" w:space="0" w:color="auto"/>
              <w:left w:val="single" w:sz="6" w:space="0" w:color="auto"/>
              <w:bottom w:val="double" w:sz="4" w:space="0" w:color="auto"/>
              <w:right w:val="single" w:sz="6" w:space="0" w:color="auto"/>
            </w:tcBorders>
            <w:vAlign w:val="center"/>
            <w:hideMark/>
          </w:tcPr>
          <w:p w14:paraId="00B77E97" w14:textId="77777777" w:rsidR="006D5D4C" w:rsidRDefault="003C3368">
            <w:pPr>
              <w:spacing w:after="120"/>
              <w:jc w:val="center"/>
              <w:rPr>
                <w:rFonts w:cs="Times New Roman"/>
                <w:b/>
                <w:sz w:val="18"/>
                <w:szCs w:val="20"/>
              </w:rPr>
            </w:pPr>
            <w:r>
              <w:rPr>
                <w:b/>
                <w:sz w:val="18"/>
                <w:szCs w:val="20"/>
              </w:rPr>
              <w:t xml:space="preserve">BG </w:t>
            </w:r>
          </w:p>
        </w:tc>
        <w:tc>
          <w:tcPr>
            <w:tcW w:w="197" w:type="pct"/>
            <w:tcBorders>
              <w:top w:val="double" w:sz="4" w:space="0" w:color="auto"/>
              <w:left w:val="single" w:sz="6" w:space="0" w:color="auto"/>
              <w:bottom w:val="double" w:sz="4" w:space="0" w:color="auto"/>
              <w:right w:val="single" w:sz="6" w:space="0" w:color="auto"/>
            </w:tcBorders>
          </w:tcPr>
          <w:p w14:paraId="1A801324" w14:textId="77777777" w:rsidR="006D5D4C" w:rsidRDefault="003C3368">
            <w:pPr>
              <w:spacing w:after="120"/>
              <w:jc w:val="center"/>
              <w:rPr>
                <w:rFonts w:cs="Times New Roman"/>
                <w:b/>
                <w:sz w:val="18"/>
                <w:szCs w:val="20"/>
              </w:rPr>
            </w:pPr>
            <w:r>
              <w:rPr>
                <w:b/>
                <w:sz w:val="18"/>
                <w:szCs w:val="20"/>
              </w:rPr>
              <w:t>CY</w:t>
            </w:r>
          </w:p>
        </w:tc>
        <w:tc>
          <w:tcPr>
            <w:tcW w:w="261" w:type="pct"/>
            <w:tcBorders>
              <w:top w:val="double" w:sz="4" w:space="0" w:color="auto"/>
              <w:left w:val="single" w:sz="6" w:space="0" w:color="auto"/>
              <w:bottom w:val="double" w:sz="4" w:space="0" w:color="auto"/>
              <w:right w:val="single" w:sz="6" w:space="0" w:color="auto"/>
            </w:tcBorders>
            <w:vAlign w:val="center"/>
            <w:hideMark/>
          </w:tcPr>
          <w:p w14:paraId="3E6B0CF8" w14:textId="77777777" w:rsidR="006D5D4C" w:rsidRDefault="003C3368">
            <w:pPr>
              <w:spacing w:after="120"/>
              <w:jc w:val="center"/>
              <w:rPr>
                <w:rFonts w:cs="Times New Roman"/>
                <w:b/>
                <w:sz w:val="18"/>
                <w:szCs w:val="20"/>
              </w:rPr>
            </w:pPr>
            <w:r>
              <w:rPr>
                <w:b/>
                <w:sz w:val="18"/>
                <w:szCs w:val="20"/>
              </w:rPr>
              <w:t xml:space="preserve">CZ </w:t>
            </w:r>
          </w:p>
        </w:tc>
        <w:tc>
          <w:tcPr>
            <w:tcW w:w="195" w:type="pct"/>
            <w:tcBorders>
              <w:top w:val="double" w:sz="4" w:space="0" w:color="auto"/>
              <w:left w:val="single" w:sz="6" w:space="0" w:color="auto"/>
              <w:bottom w:val="double" w:sz="4" w:space="0" w:color="auto"/>
              <w:right w:val="single" w:sz="6" w:space="0" w:color="auto"/>
            </w:tcBorders>
          </w:tcPr>
          <w:p w14:paraId="2BDD509D" w14:textId="77777777" w:rsidR="006D5D4C" w:rsidRDefault="003C3368">
            <w:pPr>
              <w:spacing w:after="120"/>
              <w:jc w:val="center"/>
              <w:rPr>
                <w:rFonts w:cs="Times New Roman"/>
                <w:b/>
                <w:sz w:val="18"/>
                <w:szCs w:val="20"/>
              </w:rPr>
            </w:pPr>
            <w:r>
              <w:rPr>
                <w:b/>
                <w:sz w:val="18"/>
                <w:szCs w:val="20"/>
              </w:rPr>
              <w:t>DE</w:t>
            </w:r>
          </w:p>
        </w:tc>
        <w:tc>
          <w:tcPr>
            <w:tcW w:w="267" w:type="pct"/>
            <w:tcBorders>
              <w:top w:val="double" w:sz="4" w:space="0" w:color="auto"/>
              <w:left w:val="single" w:sz="6" w:space="0" w:color="auto"/>
              <w:bottom w:val="double" w:sz="4" w:space="0" w:color="auto"/>
              <w:right w:val="single" w:sz="6" w:space="0" w:color="auto"/>
            </w:tcBorders>
            <w:vAlign w:val="center"/>
            <w:hideMark/>
          </w:tcPr>
          <w:p w14:paraId="646A4FFB" w14:textId="77777777" w:rsidR="006D5D4C" w:rsidRDefault="003C3368">
            <w:pPr>
              <w:spacing w:after="120"/>
              <w:jc w:val="center"/>
              <w:rPr>
                <w:rFonts w:cs="Times New Roman"/>
                <w:b/>
                <w:sz w:val="18"/>
                <w:szCs w:val="20"/>
              </w:rPr>
            </w:pPr>
            <w:r>
              <w:rPr>
                <w:b/>
                <w:sz w:val="18"/>
                <w:szCs w:val="20"/>
              </w:rPr>
              <w:t xml:space="preserve">DK </w:t>
            </w:r>
          </w:p>
        </w:tc>
        <w:tc>
          <w:tcPr>
            <w:tcW w:w="238" w:type="pct"/>
            <w:tcBorders>
              <w:top w:val="double" w:sz="4" w:space="0" w:color="auto"/>
              <w:left w:val="single" w:sz="6" w:space="0" w:color="auto"/>
              <w:bottom w:val="double" w:sz="4" w:space="0" w:color="auto"/>
              <w:right w:val="single" w:sz="6" w:space="0" w:color="auto"/>
            </w:tcBorders>
            <w:vAlign w:val="center"/>
            <w:hideMark/>
          </w:tcPr>
          <w:p w14:paraId="5D8B2BD2" w14:textId="77777777" w:rsidR="006D5D4C" w:rsidRDefault="003C3368">
            <w:pPr>
              <w:spacing w:after="120"/>
              <w:jc w:val="center"/>
              <w:rPr>
                <w:rFonts w:cs="Times New Roman"/>
                <w:b/>
                <w:sz w:val="18"/>
                <w:szCs w:val="20"/>
              </w:rPr>
            </w:pPr>
            <w:r>
              <w:rPr>
                <w:b/>
                <w:sz w:val="18"/>
                <w:szCs w:val="20"/>
              </w:rPr>
              <w:t xml:space="preserve">EE </w:t>
            </w:r>
          </w:p>
        </w:tc>
        <w:tc>
          <w:tcPr>
            <w:tcW w:w="270" w:type="pct"/>
            <w:tcBorders>
              <w:top w:val="double" w:sz="4" w:space="0" w:color="auto"/>
              <w:left w:val="single" w:sz="6" w:space="0" w:color="auto"/>
              <w:bottom w:val="double" w:sz="4" w:space="0" w:color="auto"/>
              <w:right w:val="single" w:sz="6" w:space="0" w:color="auto"/>
            </w:tcBorders>
            <w:vAlign w:val="center"/>
            <w:hideMark/>
          </w:tcPr>
          <w:p w14:paraId="3F1CF6C0" w14:textId="77777777" w:rsidR="006D5D4C" w:rsidRDefault="003C3368">
            <w:pPr>
              <w:spacing w:after="120"/>
              <w:jc w:val="center"/>
              <w:rPr>
                <w:rFonts w:cs="Times New Roman"/>
                <w:b/>
                <w:sz w:val="18"/>
                <w:szCs w:val="20"/>
              </w:rPr>
            </w:pPr>
            <w:r>
              <w:rPr>
                <w:b/>
                <w:sz w:val="18"/>
                <w:szCs w:val="20"/>
              </w:rPr>
              <w:t xml:space="preserve">EL </w:t>
            </w:r>
          </w:p>
        </w:tc>
        <w:tc>
          <w:tcPr>
            <w:tcW w:w="235" w:type="pct"/>
            <w:tcBorders>
              <w:top w:val="double" w:sz="4" w:space="0" w:color="auto"/>
              <w:left w:val="single" w:sz="6" w:space="0" w:color="auto"/>
              <w:bottom w:val="double" w:sz="4" w:space="0" w:color="auto"/>
              <w:right w:val="single" w:sz="6" w:space="0" w:color="auto"/>
            </w:tcBorders>
            <w:vAlign w:val="center"/>
            <w:hideMark/>
          </w:tcPr>
          <w:p w14:paraId="5532E6F6" w14:textId="77777777" w:rsidR="006D5D4C" w:rsidRDefault="003C3368">
            <w:pPr>
              <w:spacing w:after="120"/>
              <w:jc w:val="center"/>
              <w:rPr>
                <w:rFonts w:cs="Times New Roman"/>
                <w:b/>
                <w:sz w:val="18"/>
                <w:szCs w:val="20"/>
              </w:rPr>
            </w:pPr>
            <w:r>
              <w:rPr>
                <w:b/>
                <w:sz w:val="18"/>
                <w:szCs w:val="20"/>
              </w:rPr>
              <w:t xml:space="preserve">ES </w:t>
            </w:r>
          </w:p>
        </w:tc>
        <w:tc>
          <w:tcPr>
            <w:tcW w:w="200" w:type="pct"/>
            <w:tcBorders>
              <w:top w:val="double" w:sz="4" w:space="0" w:color="auto"/>
              <w:left w:val="single" w:sz="6" w:space="0" w:color="auto"/>
              <w:bottom w:val="double" w:sz="4" w:space="0" w:color="auto"/>
              <w:right w:val="single" w:sz="6" w:space="0" w:color="auto"/>
            </w:tcBorders>
          </w:tcPr>
          <w:p w14:paraId="1CD34296" w14:textId="77777777" w:rsidR="006D5D4C" w:rsidRDefault="003C3368">
            <w:pPr>
              <w:spacing w:after="120"/>
              <w:jc w:val="center"/>
              <w:rPr>
                <w:rFonts w:cs="Times New Roman"/>
                <w:b/>
                <w:sz w:val="18"/>
                <w:szCs w:val="20"/>
              </w:rPr>
            </w:pPr>
            <w:r>
              <w:rPr>
                <w:b/>
                <w:sz w:val="18"/>
                <w:szCs w:val="20"/>
              </w:rPr>
              <w:t xml:space="preserve">FI  </w:t>
            </w:r>
          </w:p>
        </w:tc>
        <w:tc>
          <w:tcPr>
            <w:tcW w:w="287" w:type="pct"/>
            <w:tcBorders>
              <w:top w:val="double" w:sz="4" w:space="0" w:color="auto"/>
              <w:left w:val="single" w:sz="6" w:space="0" w:color="auto"/>
              <w:bottom w:val="double" w:sz="4" w:space="0" w:color="auto"/>
              <w:right w:val="single" w:sz="6" w:space="0" w:color="auto"/>
            </w:tcBorders>
            <w:vAlign w:val="center"/>
            <w:hideMark/>
          </w:tcPr>
          <w:p w14:paraId="6FAE3873" w14:textId="77777777" w:rsidR="006D5D4C" w:rsidRDefault="003C3368">
            <w:pPr>
              <w:spacing w:after="120"/>
              <w:jc w:val="center"/>
              <w:rPr>
                <w:rFonts w:cs="Times New Roman"/>
                <w:b/>
                <w:sz w:val="18"/>
                <w:szCs w:val="20"/>
              </w:rPr>
            </w:pPr>
            <w:r>
              <w:rPr>
                <w:b/>
                <w:sz w:val="18"/>
                <w:szCs w:val="20"/>
              </w:rPr>
              <w:t xml:space="preserve">FR </w:t>
            </w:r>
          </w:p>
        </w:tc>
        <w:tc>
          <w:tcPr>
            <w:tcW w:w="473" w:type="pct"/>
            <w:tcBorders>
              <w:top w:val="double" w:sz="4" w:space="0" w:color="auto"/>
              <w:left w:val="single" w:sz="6" w:space="0" w:color="auto"/>
              <w:bottom w:val="double" w:sz="4" w:space="0" w:color="auto"/>
              <w:right w:val="single" w:sz="6" w:space="0" w:color="auto"/>
            </w:tcBorders>
            <w:vAlign w:val="center"/>
            <w:hideMark/>
          </w:tcPr>
          <w:p w14:paraId="09B88A51" w14:textId="77777777" w:rsidR="006D5D4C" w:rsidRDefault="003C3368">
            <w:pPr>
              <w:spacing w:after="120"/>
              <w:jc w:val="center"/>
              <w:rPr>
                <w:rFonts w:cs="Times New Roman"/>
                <w:b/>
                <w:sz w:val="18"/>
                <w:szCs w:val="20"/>
              </w:rPr>
            </w:pPr>
            <w:r>
              <w:rPr>
                <w:b/>
                <w:sz w:val="18"/>
                <w:szCs w:val="20"/>
              </w:rPr>
              <w:t xml:space="preserve">HR </w:t>
            </w:r>
          </w:p>
        </w:tc>
        <w:tc>
          <w:tcPr>
            <w:tcW w:w="363" w:type="pct"/>
            <w:tcBorders>
              <w:top w:val="double" w:sz="4" w:space="0" w:color="auto"/>
              <w:left w:val="single" w:sz="6" w:space="0" w:color="auto"/>
              <w:bottom w:val="double" w:sz="4" w:space="0" w:color="auto"/>
              <w:right w:val="single" w:sz="6" w:space="0" w:color="auto"/>
            </w:tcBorders>
            <w:vAlign w:val="center"/>
          </w:tcPr>
          <w:p w14:paraId="079F068B" w14:textId="77777777" w:rsidR="006D5D4C" w:rsidRDefault="003C3368">
            <w:pPr>
              <w:spacing w:after="120"/>
              <w:jc w:val="center"/>
              <w:rPr>
                <w:rFonts w:cs="Times New Roman"/>
                <w:b/>
                <w:sz w:val="18"/>
                <w:szCs w:val="20"/>
              </w:rPr>
            </w:pPr>
            <w:r>
              <w:rPr>
                <w:b/>
                <w:sz w:val="18"/>
                <w:szCs w:val="20"/>
              </w:rPr>
              <w:t xml:space="preserve">IE  </w:t>
            </w:r>
          </w:p>
        </w:tc>
        <w:tc>
          <w:tcPr>
            <w:tcW w:w="468" w:type="pct"/>
            <w:tcBorders>
              <w:top w:val="double" w:sz="4" w:space="0" w:color="auto"/>
              <w:left w:val="single" w:sz="6" w:space="0" w:color="auto"/>
              <w:bottom w:val="double" w:sz="4" w:space="0" w:color="auto"/>
              <w:right w:val="single" w:sz="6" w:space="0" w:color="auto"/>
            </w:tcBorders>
            <w:vAlign w:val="center"/>
          </w:tcPr>
          <w:p w14:paraId="7ACAB00D" w14:textId="77777777" w:rsidR="006D5D4C" w:rsidRDefault="003C3368">
            <w:pPr>
              <w:spacing w:after="120"/>
              <w:jc w:val="center"/>
              <w:rPr>
                <w:rFonts w:cs="Times New Roman"/>
                <w:b/>
                <w:sz w:val="18"/>
                <w:szCs w:val="20"/>
              </w:rPr>
            </w:pPr>
            <w:r>
              <w:rPr>
                <w:b/>
                <w:sz w:val="18"/>
                <w:szCs w:val="20"/>
              </w:rPr>
              <w:t xml:space="preserve">IT </w:t>
            </w:r>
          </w:p>
        </w:tc>
        <w:tc>
          <w:tcPr>
            <w:tcW w:w="421" w:type="pct"/>
            <w:tcBorders>
              <w:top w:val="double" w:sz="4" w:space="0" w:color="auto"/>
              <w:left w:val="single" w:sz="6" w:space="0" w:color="auto"/>
              <w:bottom w:val="double" w:sz="4" w:space="0" w:color="auto"/>
              <w:right w:val="single" w:sz="6" w:space="0" w:color="auto"/>
            </w:tcBorders>
            <w:vAlign w:val="center"/>
            <w:hideMark/>
          </w:tcPr>
          <w:p w14:paraId="4CD0CD58" w14:textId="77777777" w:rsidR="006D5D4C" w:rsidRDefault="003C3368">
            <w:pPr>
              <w:spacing w:after="120"/>
              <w:jc w:val="center"/>
              <w:rPr>
                <w:rFonts w:cs="Times New Roman"/>
                <w:b/>
                <w:sz w:val="18"/>
                <w:szCs w:val="20"/>
              </w:rPr>
            </w:pPr>
            <w:r>
              <w:rPr>
                <w:b/>
                <w:sz w:val="18"/>
                <w:szCs w:val="20"/>
              </w:rPr>
              <w:t>LV</w:t>
            </w:r>
          </w:p>
        </w:tc>
        <w:tc>
          <w:tcPr>
            <w:tcW w:w="421" w:type="pct"/>
            <w:tcBorders>
              <w:top w:val="double" w:sz="4" w:space="0" w:color="auto"/>
              <w:left w:val="single" w:sz="6" w:space="0" w:color="auto"/>
              <w:bottom w:val="double" w:sz="4" w:space="0" w:color="auto"/>
              <w:right w:val="single" w:sz="6" w:space="0" w:color="auto"/>
            </w:tcBorders>
            <w:vAlign w:val="center"/>
            <w:hideMark/>
          </w:tcPr>
          <w:p w14:paraId="01629518" w14:textId="77777777" w:rsidR="006D5D4C" w:rsidRDefault="003C3368">
            <w:pPr>
              <w:spacing w:after="120"/>
              <w:jc w:val="center"/>
              <w:rPr>
                <w:rFonts w:cs="Times New Roman"/>
                <w:b/>
                <w:sz w:val="18"/>
                <w:szCs w:val="20"/>
              </w:rPr>
            </w:pPr>
            <w:r>
              <w:rPr>
                <w:b/>
                <w:sz w:val="18"/>
                <w:szCs w:val="20"/>
              </w:rPr>
              <w:t>LT</w:t>
            </w:r>
          </w:p>
        </w:tc>
      </w:tr>
      <w:tr w:rsidR="006D5D4C" w14:paraId="296B3C1E" w14:textId="77777777" w:rsidTr="00711EA7">
        <w:trPr>
          <w:jc w:val="center"/>
        </w:trPr>
        <w:tc>
          <w:tcPr>
            <w:tcW w:w="292" w:type="pct"/>
            <w:tcBorders>
              <w:top w:val="double" w:sz="4" w:space="0" w:color="auto"/>
              <w:left w:val="double" w:sz="4" w:space="0" w:color="auto"/>
              <w:bottom w:val="single" w:sz="4" w:space="0" w:color="auto"/>
              <w:right w:val="single" w:sz="4" w:space="0" w:color="auto"/>
            </w:tcBorders>
          </w:tcPr>
          <w:p w14:paraId="654E01B9" w14:textId="77777777" w:rsidR="006D5D4C" w:rsidRDefault="006D5D4C">
            <w:pPr>
              <w:spacing w:after="120"/>
              <w:jc w:val="center"/>
              <w:rPr>
                <w:rFonts w:cs="Times New Roman"/>
                <w:sz w:val="18"/>
                <w:szCs w:val="20"/>
              </w:rPr>
            </w:pPr>
          </w:p>
        </w:tc>
        <w:tc>
          <w:tcPr>
            <w:tcW w:w="206" w:type="pct"/>
            <w:tcBorders>
              <w:top w:val="double" w:sz="4" w:space="0" w:color="auto"/>
              <w:left w:val="double" w:sz="4" w:space="0" w:color="auto"/>
              <w:bottom w:val="single" w:sz="4" w:space="0" w:color="auto"/>
              <w:right w:val="single" w:sz="4" w:space="0" w:color="auto"/>
            </w:tcBorders>
            <w:vAlign w:val="center"/>
          </w:tcPr>
          <w:p w14:paraId="7CA4FE94" w14:textId="77777777" w:rsidR="006D5D4C" w:rsidRDefault="006D5D4C">
            <w:pPr>
              <w:spacing w:after="120"/>
              <w:jc w:val="center"/>
              <w:rPr>
                <w:rFonts w:cs="Times New Roman"/>
                <w:sz w:val="18"/>
                <w:szCs w:val="20"/>
              </w:rPr>
            </w:pPr>
          </w:p>
        </w:tc>
        <w:tc>
          <w:tcPr>
            <w:tcW w:w="206" w:type="pct"/>
            <w:tcBorders>
              <w:top w:val="double" w:sz="4" w:space="0" w:color="auto"/>
              <w:left w:val="single" w:sz="4" w:space="0" w:color="auto"/>
              <w:bottom w:val="single" w:sz="4" w:space="0" w:color="auto"/>
              <w:right w:val="single" w:sz="4" w:space="0" w:color="auto"/>
            </w:tcBorders>
            <w:vAlign w:val="center"/>
          </w:tcPr>
          <w:p w14:paraId="60C774F1" w14:textId="77777777" w:rsidR="006D5D4C" w:rsidRDefault="006D5D4C">
            <w:pPr>
              <w:spacing w:after="120"/>
              <w:jc w:val="center"/>
              <w:rPr>
                <w:rFonts w:cs="Times New Roman"/>
                <w:sz w:val="18"/>
                <w:szCs w:val="20"/>
              </w:rPr>
            </w:pPr>
          </w:p>
        </w:tc>
        <w:tc>
          <w:tcPr>
            <w:tcW w:w="197" w:type="pct"/>
            <w:tcBorders>
              <w:top w:val="double" w:sz="4" w:space="0" w:color="auto"/>
              <w:left w:val="single" w:sz="4" w:space="0" w:color="auto"/>
              <w:bottom w:val="single" w:sz="4" w:space="0" w:color="auto"/>
              <w:right w:val="single" w:sz="4" w:space="0" w:color="auto"/>
            </w:tcBorders>
          </w:tcPr>
          <w:p w14:paraId="5EDE2115" w14:textId="77777777" w:rsidR="006D5D4C" w:rsidRDefault="006D5D4C">
            <w:pPr>
              <w:spacing w:after="120"/>
              <w:jc w:val="center"/>
              <w:rPr>
                <w:rFonts w:cs="Times New Roman"/>
                <w:sz w:val="18"/>
                <w:szCs w:val="20"/>
              </w:rPr>
            </w:pPr>
          </w:p>
        </w:tc>
        <w:tc>
          <w:tcPr>
            <w:tcW w:w="261" w:type="pct"/>
            <w:tcBorders>
              <w:top w:val="double" w:sz="4" w:space="0" w:color="auto"/>
              <w:left w:val="single" w:sz="4" w:space="0" w:color="auto"/>
              <w:bottom w:val="single" w:sz="4" w:space="0" w:color="auto"/>
              <w:right w:val="single" w:sz="4" w:space="0" w:color="auto"/>
            </w:tcBorders>
            <w:vAlign w:val="center"/>
          </w:tcPr>
          <w:p w14:paraId="0AA8132D" w14:textId="77777777" w:rsidR="006D5D4C" w:rsidRDefault="006D5D4C">
            <w:pPr>
              <w:spacing w:after="120"/>
              <w:jc w:val="center"/>
              <w:rPr>
                <w:rFonts w:cs="Times New Roman"/>
                <w:sz w:val="18"/>
                <w:szCs w:val="20"/>
              </w:rPr>
            </w:pPr>
          </w:p>
        </w:tc>
        <w:tc>
          <w:tcPr>
            <w:tcW w:w="195" w:type="pct"/>
            <w:tcBorders>
              <w:top w:val="double" w:sz="4" w:space="0" w:color="auto"/>
              <w:left w:val="single" w:sz="4" w:space="0" w:color="auto"/>
              <w:bottom w:val="single" w:sz="4" w:space="0" w:color="auto"/>
              <w:right w:val="single" w:sz="4" w:space="0" w:color="auto"/>
            </w:tcBorders>
          </w:tcPr>
          <w:p w14:paraId="6CF45214" w14:textId="77777777" w:rsidR="006D5D4C" w:rsidRDefault="006D5D4C">
            <w:pPr>
              <w:spacing w:after="120"/>
              <w:jc w:val="center"/>
              <w:rPr>
                <w:rFonts w:cs="Times New Roman"/>
                <w:sz w:val="18"/>
                <w:szCs w:val="20"/>
              </w:rPr>
            </w:pPr>
          </w:p>
        </w:tc>
        <w:tc>
          <w:tcPr>
            <w:tcW w:w="267" w:type="pct"/>
            <w:tcBorders>
              <w:top w:val="double" w:sz="4" w:space="0" w:color="auto"/>
              <w:left w:val="single" w:sz="4" w:space="0" w:color="auto"/>
              <w:bottom w:val="single" w:sz="4" w:space="0" w:color="auto"/>
              <w:right w:val="single" w:sz="4" w:space="0" w:color="auto"/>
            </w:tcBorders>
            <w:vAlign w:val="center"/>
          </w:tcPr>
          <w:p w14:paraId="73FDB3F6" w14:textId="77777777" w:rsidR="006D5D4C" w:rsidRDefault="006D5D4C">
            <w:pPr>
              <w:spacing w:after="120"/>
              <w:jc w:val="center"/>
              <w:rPr>
                <w:rFonts w:cs="Times New Roman"/>
                <w:sz w:val="18"/>
                <w:szCs w:val="20"/>
              </w:rPr>
            </w:pPr>
          </w:p>
        </w:tc>
        <w:tc>
          <w:tcPr>
            <w:tcW w:w="238" w:type="pct"/>
            <w:tcBorders>
              <w:top w:val="double" w:sz="4" w:space="0" w:color="auto"/>
              <w:left w:val="single" w:sz="4" w:space="0" w:color="auto"/>
              <w:bottom w:val="single" w:sz="4" w:space="0" w:color="auto"/>
              <w:right w:val="single" w:sz="4" w:space="0" w:color="auto"/>
            </w:tcBorders>
            <w:vAlign w:val="center"/>
          </w:tcPr>
          <w:p w14:paraId="66EDD761" w14:textId="77777777" w:rsidR="006D5D4C" w:rsidRDefault="006D5D4C">
            <w:pPr>
              <w:spacing w:after="120"/>
              <w:jc w:val="center"/>
              <w:rPr>
                <w:rFonts w:cs="Times New Roman"/>
                <w:sz w:val="18"/>
                <w:szCs w:val="20"/>
              </w:rPr>
            </w:pPr>
          </w:p>
        </w:tc>
        <w:tc>
          <w:tcPr>
            <w:tcW w:w="270" w:type="pct"/>
            <w:tcBorders>
              <w:top w:val="double" w:sz="4" w:space="0" w:color="auto"/>
              <w:left w:val="single" w:sz="4" w:space="0" w:color="auto"/>
              <w:bottom w:val="single" w:sz="4" w:space="0" w:color="auto"/>
              <w:right w:val="single" w:sz="4" w:space="0" w:color="auto"/>
            </w:tcBorders>
            <w:vAlign w:val="center"/>
          </w:tcPr>
          <w:p w14:paraId="4D6C9D8C" w14:textId="77777777" w:rsidR="006D5D4C" w:rsidRDefault="006D5D4C">
            <w:pPr>
              <w:spacing w:after="120"/>
              <w:jc w:val="center"/>
              <w:rPr>
                <w:rFonts w:cs="Times New Roman"/>
                <w:sz w:val="18"/>
                <w:szCs w:val="20"/>
              </w:rPr>
            </w:pPr>
          </w:p>
        </w:tc>
        <w:tc>
          <w:tcPr>
            <w:tcW w:w="235" w:type="pct"/>
            <w:tcBorders>
              <w:top w:val="double" w:sz="4" w:space="0" w:color="auto"/>
              <w:left w:val="single" w:sz="4" w:space="0" w:color="auto"/>
              <w:bottom w:val="single" w:sz="4" w:space="0" w:color="auto"/>
              <w:right w:val="single" w:sz="4" w:space="0" w:color="auto"/>
            </w:tcBorders>
            <w:vAlign w:val="center"/>
          </w:tcPr>
          <w:p w14:paraId="5AE4E09F" w14:textId="77777777" w:rsidR="006D5D4C" w:rsidRDefault="006D5D4C">
            <w:pPr>
              <w:spacing w:after="120"/>
              <w:jc w:val="center"/>
              <w:rPr>
                <w:rFonts w:cs="Times New Roman"/>
                <w:sz w:val="18"/>
                <w:szCs w:val="20"/>
              </w:rPr>
            </w:pPr>
          </w:p>
        </w:tc>
        <w:tc>
          <w:tcPr>
            <w:tcW w:w="200" w:type="pct"/>
            <w:tcBorders>
              <w:top w:val="double" w:sz="4" w:space="0" w:color="auto"/>
              <w:left w:val="single" w:sz="4" w:space="0" w:color="auto"/>
              <w:bottom w:val="single" w:sz="4" w:space="0" w:color="auto"/>
              <w:right w:val="single" w:sz="4" w:space="0" w:color="auto"/>
            </w:tcBorders>
          </w:tcPr>
          <w:p w14:paraId="198A08A8" w14:textId="77777777" w:rsidR="006D5D4C" w:rsidRDefault="006D5D4C">
            <w:pPr>
              <w:spacing w:after="120"/>
              <w:jc w:val="center"/>
              <w:rPr>
                <w:rFonts w:cs="Times New Roman"/>
                <w:sz w:val="18"/>
                <w:szCs w:val="20"/>
              </w:rPr>
            </w:pPr>
          </w:p>
        </w:tc>
        <w:tc>
          <w:tcPr>
            <w:tcW w:w="287" w:type="pct"/>
            <w:tcBorders>
              <w:top w:val="double" w:sz="4" w:space="0" w:color="auto"/>
              <w:left w:val="single" w:sz="4" w:space="0" w:color="auto"/>
              <w:bottom w:val="single" w:sz="4" w:space="0" w:color="auto"/>
              <w:right w:val="single" w:sz="4" w:space="0" w:color="auto"/>
            </w:tcBorders>
            <w:vAlign w:val="center"/>
          </w:tcPr>
          <w:p w14:paraId="5F7AE727" w14:textId="77777777" w:rsidR="006D5D4C" w:rsidRDefault="006D5D4C">
            <w:pPr>
              <w:spacing w:after="120"/>
              <w:jc w:val="center"/>
              <w:rPr>
                <w:rFonts w:cs="Times New Roman"/>
                <w:sz w:val="18"/>
                <w:szCs w:val="20"/>
              </w:rPr>
            </w:pPr>
          </w:p>
        </w:tc>
        <w:tc>
          <w:tcPr>
            <w:tcW w:w="473" w:type="pct"/>
            <w:tcBorders>
              <w:top w:val="double" w:sz="4" w:space="0" w:color="auto"/>
              <w:left w:val="single" w:sz="4" w:space="0" w:color="auto"/>
              <w:bottom w:val="single" w:sz="4" w:space="0" w:color="auto"/>
              <w:right w:val="single" w:sz="4" w:space="0" w:color="auto"/>
            </w:tcBorders>
            <w:vAlign w:val="center"/>
          </w:tcPr>
          <w:p w14:paraId="0902A002" w14:textId="77777777" w:rsidR="006D5D4C" w:rsidRDefault="006D5D4C">
            <w:pPr>
              <w:spacing w:after="120"/>
              <w:jc w:val="center"/>
              <w:rPr>
                <w:rFonts w:cs="Times New Roman"/>
                <w:sz w:val="18"/>
                <w:szCs w:val="20"/>
              </w:rPr>
            </w:pPr>
          </w:p>
        </w:tc>
        <w:tc>
          <w:tcPr>
            <w:tcW w:w="363" w:type="pct"/>
            <w:tcBorders>
              <w:top w:val="double" w:sz="4" w:space="0" w:color="auto"/>
              <w:left w:val="single" w:sz="4" w:space="0" w:color="auto"/>
              <w:bottom w:val="single" w:sz="4" w:space="0" w:color="auto"/>
              <w:right w:val="single" w:sz="4" w:space="0" w:color="auto"/>
            </w:tcBorders>
            <w:vAlign w:val="center"/>
          </w:tcPr>
          <w:p w14:paraId="44C1223A" w14:textId="77777777" w:rsidR="006D5D4C" w:rsidRDefault="006D5D4C">
            <w:pPr>
              <w:spacing w:after="120"/>
              <w:jc w:val="center"/>
              <w:rPr>
                <w:rFonts w:cs="Times New Roman"/>
                <w:sz w:val="18"/>
                <w:szCs w:val="20"/>
              </w:rPr>
            </w:pPr>
          </w:p>
        </w:tc>
        <w:tc>
          <w:tcPr>
            <w:tcW w:w="468" w:type="pct"/>
            <w:tcBorders>
              <w:top w:val="double" w:sz="4" w:space="0" w:color="auto"/>
              <w:left w:val="single" w:sz="4" w:space="0" w:color="auto"/>
              <w:bottom w:val="single" w:sz="4" w:space="0" w:color="auto"/>
              <w:right w:val="single" w:sz="4" w:space="0" w:color="auto"/>
            </w:tcBorders>
            <w:vAlign w:val="center"/>
          </w:tcPr>
          <w:p w14:paraId="404AD912" w14:textId="77777777" w:rsidR="006D5D4C" w:rsidRDefault="006D5D4C">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127664C1" w14:textId="77777777" w:rsidR="006D5D4C" w:rsidRDefault="006D5D4C">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6303F217" w14:textId="77777777" w:rsidR="006D5D4C" w:rsidRDefault="006D5D4C">
            <w:pPr>
              <w:spacing w:after="120"/>
              <w:jc w:val="center"/>
              <w:rPr>
                <w:rFonts w:cs="Times New Roman"/>
                <w:sz w:val="18"/>
                <w:szCs w:val="20"/>
              </w:rPr>
            </w:pPr>
          </w:p>
        </w:tc>
      </w:tr>
      <w:tr w:rsidR="006D5D4C" w14:paraId="48D7596F" w14:textId="77777777" w:rsidTr="00711EA7">
        <w:trPr>
          <w:jc w:val="center"/>
        </w:trPr>
        <w:tc>
          <w:tcPr>
            <w:tcW w:w="292" w:type="pct"/>
            <w:tcBorders>
              <w:top w:val="double" w:sz="4" w:space="0" w:color="auto"/>
              <w:left w:val="single" w:sz="6" w:space="0" w:color="auto"/>
              <w:bottom w:val="double" w:sz="4" w:space="0" w:color="auto"/>
              <w:right w:val="single" w:sz="6" w:space="0" w:color="auto"/>
            </w:tcBorders>
            <w:vAlign w:val="center"/>
          </w:tcPr>
          <w:p w14:paraId="11EE039F" w14:textId="77777777" w:rsidR="006D5D4C" w:rsidRDefault="003C3368">
            <w:pPr>
              <w:spacing w:after="120"/>
              <w:jc w:val="center"/>
              <w:rPr>
                <w:rFonts w:cs="Times New Roman"/>
                <w:b/>
                <w:sz w:val="18"/>
                <w:szCs w:val="20"/>
              </w:rPr>
            </w:pPr>
            <w:r>
              <w:rPr>
                <w:b/>
                <w:sz w:val="18"/>
                <w:szCs w:val="20"/>
              </w:rPr>
              <w:t>LU</w:t>
            </w:r>
          </w:p>
        </w:tc>
        <w:tc>
          <w:tcPr>
            <w:tcW w:w="206" w:type="pct"/>
            <w:tcBorders>
              <w:top w:val="double" w:sz="4" w:space="0" w:color="auto"/>
              <w:left w:val="single" w:sz="6" w:space="0" w:color="auto"/>
              <w:bottom w:val="double" w:sz="4" w:space="0" w:color="auto"/>
              <w:right w:val="single" w:sz="6" w:space="0" w:color="auto"/>
            </w:tcBorders>
            <w:vAlign w:val="center"/>
          </w:tcPr>
          <w:p w14:paraId="730DB17E" w14:textId="77777777" w:rsidR="006D5D4C" w:rsidRDefault="003C3368">
            <w:pPr>
              <w:spacing w:after="120"/>
              <w:jc w:val="center"/>
              <w:rPr>
                <w:rFonts w:cs="Times New Roman"/>
                <w:b/>
                <w:sz w:val="18"/>
                <w:szCs w:val="20"/>
              </w:rPr>
            </w:pPr>
            <w:r>
              <w:rPr>
                <w:b/>
                <w:sz w:val="18"/>
                <w:szCs w:val="20"/>
              </w:rPr>
              <w:t>HU</w:t>
            </w:r>
          </w:p>
        </w:tc>
        <w:tc>
          <w:tcPr>
            <w:tcW w:w="206" w:type="pct"/>
            <w:tcBorders>
              <w:top w:val="double" w:sz="4" w:space="0" w:color="auto"/>
              <w:left w:val="single" w:sz="6" w:space="0" w:color="auto"/>
              <w:bottom w:val="double" w:sz="4" w:space="0" w:color="auto"/>
              <w:right w:val="single" w:sz="6" w:space="0" w:color="auto"/>
            </w:tcBorders>
            <w:vAlign w:val="center"/>
          </w:tcPr>
          <w:p w14:paraId="6F5F1A98" w14:textId="77777777" w:rsidR="006D5D4C" w:rsidRDefault="003C3368">
            <w:pPr>
              <w:spacing w:after="120"/>
              <w:jc w:val="center"/>
              <w:rPr>
                <w:rFonts w:cs="Times New Roman"/>
                <w:b/>
                <w:sz w:val="18"/>
                <w:szCs w:val="20"/>
              </w:rPr>
            </w:pPr>
            <w:r>
              <w:rPr>
                <w:b/>
                <w:sz w:val="18"/>
                <w:szCs w:val="20"/>
              </w:rPr>
              <w:t>MT</w:t>
            </w:r>
          </w:p>
        </w:tc>
        <w:tc>
          <w:tcPr>
            <w:tcW w:w="197" w:type="pct"/>
            <w:tcBorders>
              <w:top w:val="double" w:sz="4" w:space="0" w:color="auto"/>
              <w:left w:val="single" w:sz="6" w:space="0" w:color="auto"/>
              <w:bottom w:val="double" w:sz="4" w:space="0" w:color="auto"/>
              <w:right w:val="single" w:sz="6" w:space="0" w:color="auto"/>
            </w:tcBorders>
            <w:vAlign w:val="center"/>
          </w:tcPr>
          <w:p w14:paraId="2E8C21BF" w14:textId="77777777" w:rsidR="006D5D4C" w:rsidDel="004741C7" w:rsidRDefault="003C3368">
            <w:pPr>
              <w:spacing w:after="120"/>
              <w:jc w:val="center"/>
              <w:rPr>
                <w:rFonts w:cs="Times New Roman"/>
                <w:b/>
                <w:sz w:val="18"/>
                <w:szCs w:val="20"/>
              </w:rPr>
            </w:pPr>
            <w:r>
              <w:rPr>
                <w:b/>
                <w:sz w:val="18"/>
                <w:szCs w:val="20"/>
              </w:rPr>
              <w:t>NL</w:t>
            </w:r>
          </w:p>
        </w:tc>
        <w:tc>
          <w:tcPr>
            <w:tcW w:w="261" w:type="pct"/>
            <w:tcBorders>
              <w:top w:val="double" w:sz="4" w:space="0" w:color="auto"/>
              <w:left w:val="single" w:sz="6" w:space="0" w:color="auto"/>
              <w:bottom w:val="double" w:sz="4" w:space="0" w:color="auto"/>
              <w:right w:val="single" w:sz="6" w:space="0" w:color="auto"/>
            </w:tcBorders>
            <w:vAlign w:val="center"/>
          </w:tcPr>
          <w:p w14:paraId="50F75ED9" w14:textId="77777777" w:rsidR="006D5D4C" w:rsidRDefault="003C3368">
            <w:pPr>
              <w:spacing w:after="120"/>
              <w:jc w:val="center"/>
              <w:rPr>
                <w:rFonts w:cs="Times New Roman"/>
                <w:b/>
                <w:sz w:val="18"/>
                <w:szCs w:val="20"/>
              </w:rPr>
            </w:pPr>
            <w:r>
              <w:rPr>
                <w:b/>
                <w:sz w:val="18"/>
                <w:szCs w:val="20"/>
              </w:rPr>
              <w:t>PL</w:t>
            </w:r>
          </w:p>
        </w:tc>
        <w:tc>
          <w:tcPr>
            <w:tcW w:w="195" w:type="pct"/>
            <w:tcBorders>
              <w:top w:val="double" w:sz="4" w:space="0" w:color="auto"/>
              <w:left w:val="single" w:sz="6" w:space="0" w:color="auto"/>
              <w:bottom w:val="double" w:sz="4" w:space="0" w:color="auto"/>
              <w:right w:val="single" w:sz="6" w:space="0" w:color="auto"/>
            </w:tcBorders>
            <w:vAlign w:val="center"/>
          </w:tcPr>
          <w:p w14:paraId="3CFE8918" w14:textId="77777777" w:rsidR="006D5D4C" w:rsidRDefault="003C3368">
            <w:pPr>
              <w:spacing w:after="120"/>
              <w:jc w:val="center"/>
              <w:rPr>
                <w:rFonts w:cs="Times New Roman"/>
                <w:b/>
                <w:sz w:val="18"/>
                <w:szCs w:val="20"/>
              </w:rPr>
            </w:pPr>
            <w:r>
              <w:rPr>
                <w:b/>
                <w:sz w:val="18"/>
                <w:szCs w:val="20"/>
              </w:rPr>
              <w:t>PT</w:t>
            </w:r>
          </w:p>
        </w:tc>
        <w:tc>
          <w:tcPr>
            <w:tcW w:w="267" w:type="pct"/>
            <w:tcBorders>
              <w:top w:val="double" w:sz="4" w:space="0" w:color="auto"/>
              <w:left w:val="single" w:sz="6" w:space="0" w:color="auto"/>
              <w:bottom w:val="double" w:sz="4" w:space="0" w:color="auto"/>
              <w:right w:val="single" w:sz="6" w:space="0" w:color="auto"/>
            </w:tcBorders>
            <w:vAlign w:val="center"/>
          </w:tcPr>
          <w:p w14:paraId="0BDE2488" w14:textId="77777777" w:rsidR="006D5D4C" w:rsidRDefault="003C3368">
            <w:pPr>
              <w:spacing w:after="120"/>
              <w:jc w:val="center"/>
              <w:rPr>
                <w:rFonts w:cs="Times New Roman"/>
                <w:b/>
                <w:sz w:val="18"/>
                <w:szCs w:val="20"/>
              </w:rPr>
            </w:pPr>
            <w:r>
              <w:rPr>
                <w:b/>
                <w:sz w:val="18"/>
                <w:szCs w:val="20"/>
              </w:rPr>
              <w:t>RO</w:t>
            </w:r>
          </w:p>
        </w:tc>
        <w:tc>
          <w:tcPr>
            <w:tcW w:w="238" w:type="pct"/>
            <w:tcBorders>
              <w:top w:val="double" w:sz="4" w:space="0" w:color="auto"/>
              <w:left w:val="single" w:sz="6" w:space="0" w:color="auto"/>
              <w:bottom w:val="double" w:sz="4" w:space="0" w:color="auto"/>
              <w:right w:val="single" w:sz="6" w:space="0" w:color="auto"/>
            </w:tcBorders>
            <w:vAlign w:val="center"/>
          </w:tcPr>
          <w:p w14:paraId="642C1B78" w14:textId="77777777" w:rsidR="006D5D4C" w:rsidRDefault="003C3368">
            <w:pPr>
              <w:spacing w:after="120"/>
              <w:jc w:val="center"/>
              <w:rPr>
                <w:rFonts w:cs="Times New Roman"/>
                <w:b/>
                <w:sz w:val="18"/>
                <w:szCs w:val="20"/>
              </w:rPr>
            </w:pPr>
            <w:r>
              <w:rPr>
                <w:b/>
                <w:sz w:val="18"/>
                <w:szCs w:val="20"/>
              </w:rPr>
              <w:t>SI</w:t>
            </w:r>
          </w:p>
        </w:tc>
        <w:tc>
          <w:tcPr>
            <w:tcW w:w="270" w:type="pct"/>
            <w:tcBorders>
              <w:top w:val="double" w:sz="4" w:space="0" w:color="auto"/>
              <w:left w:val="single" w:sz="6" w:space="0" w:color="auto"/>
              <w:bottom w:val="double" w:sz="4" w:space="0" w:color="auto"/>
              <w:right w:val="single" w:sz="6" w:space="0" w:color="auto"/>
            </w:tcBorders>
            <w:vAlign w:val="center"/>
          </w:tcPr>
          <w:p w14:paraId="0B26AEED" w14:textId="77777777" w:rsidR="006D5D4C" w:rsidRDefault="003C3368">
            <w:pPr>
              <w:spacing w:after="120"/>
              <w:jc w:val="center"/>
              <w:rPr>
                <w:rFonts w:cs="Times New Roman"/>
                <w:b/>
                <w:sz w:val="18"/>
                <w:szCs w:val="20"/>
              </w:rPr>
            </w:pPr>
            <w:r>
              <w:rPr>
                <w:b/>
                <w:sz w:val="18"/>
                <w:szCs w:val="20"/>
              </w:rPr>
              <w:t>SK</w:t>
            </w:r>
          </w:p>
        </w:tc>
        <w:tc>
          <w:tcPr>
            <w:tcW w:w="235" w:type="pct"/>
            <w:tcBorders>
              <w:top w:val="double" w:sz="4" w:space="0" w:color="auto"/>
              <w:left w:val="single" w:sz="6" w:space="0" w:color="auto"/>
              <w:bottom w:val="double" w:sz="4" w:space="0" w:color="auto"/>
              <w:right w:val="single" w:sz="6" w:space="0" w:color="auto"/>
            </w:tcBorders>
            <w:vAlign w:val="center"/>
          </w:tcPr>
          <w:p w14:paraId="661175E3" w14:textId="77777777" w:rsidR="006D5D4C" w:rsidRDefault="003C3368">
            <w:pPr>
              <w:spacing w:after="120"/>
              <w:jc w:val="center"/>
              <w:rPr>
                <w:rFonts w:cs="Times New Roman"/>
                <w:b/>
                <w:sz w:val="18"/>
                <w:szCs w:val="20"/>
              </w:rPr>
            </w:pPr>
            <w:r>
              <w:rPr>
                <w:b/>
                <w:sz w:val="18"/>
                <w:szCs w:val="20"/>
              </w:rPr>
              <w:t>SE</w:t>
            </w:r>
          </w:p>
        </w:tc>
        <w:tc>
          <w:tcPr>
            <w:tcW w:w="200" w:type="pct"/>
            <w:tcBorders>
              <w:top w:val="double" w:sz="4" w:space="0" w:color="auto"/>
              <w:left w:val="single" w:sz="6" w:space="0" w:color="auto"/>
              <w:bottom w:val="double" w:sz="4" w:space="0" w:color="auto"/>
              <w:right w:val="single" w:sz="6" w:space="0" w:color="auto"/>
            </w:tcBorders>
          </w:tcPr>
          <w:p w14:paraId="46E483B8" w14:textId="77777777" w:rsidR="006D5D4C" w:rsidRDefault="003C3368">
            <w:pPr>
              <w:spacing w:after="120"/>
              <w:jc w:val="center"/>
              <w:rPr>
                <w:rFonts w:cs="Times New Roman"/>
                <w:b/>
                <w:sz w:val="18"/>
                <w:szCs w:val="20"/>
              </w:rPr>
            </w:pPr>
            <w:r>
              <w:rPr>
                <w:b/>
                <w:sz w:val="18"/>
                <w:szCs w:val="20"/>
              </w:rPr>
              <w:t>UK</w:t>
            </w:r>
          </w:p>
        </w:tc>
        <w:tc>
          <w:tcPr>
            <w:tcW w:w="287" w:type="pct"/>
            <w:tcBorders>
              <w:top w:val="double" w:sz="4" w:space="0" w:color="auto"/>
              <w:left w:val="single" w:sz="6" w:space="0" w:color="auto"/>
              <w:bottom w:val="double" w:sz="4" w:space="0" w:color="auto"/>
              <w:right w:val="single" w:sz="6" w:space="0" w:color="auto"/>
            </w:tcBorders>
          </w:tcPr>
          <w:p w14:paraId="479E0628" w14:textId="77777777" w:rsidR="006D5D4C" w:rsidRDefault="003C3368">
            <w:pPr>
              <w:spacing w:after="120"/>
              <w:jc w:val="center"/>
              <w:rPr>
                <w:rFonts w:cs="Times New Roman"/>
                <w:b/>
                <w:sz w:val="18"/>
                <w:szCs w:val="20"/>
              </w:rPr>
            </w:pPr>
            <w:r>
              <w:rPr>
                <w:b/>
                <w:sz w:val="18"/>
                <w:szCs w:val="20"/>
              </w:rPr>
              <w:t xml:space="preserve">Islandija </w:t>
            </w:r>
          </w:p>
        </w:tc>
        <w:tc>
          <w:tcPr>
            <w:tcW w:w="473" w:type="pct"/>
            <w:tcBorders>
              <w:top w:val="double" w:sz="4" w:space="0" w:color="auto"/>
              <w:left w:val="single" w:sz="6" w:space="0" w:color="auto"/>
              <w:bottom w:val="double" w:sz="4" w:space="0" w:color="auto"/>
              <w:right w:val="single" w:sz="6" w:space="0" w:color="auto"/>
            </w:tcBorders>
            <w:vAlign w:val="center"/>
          </w:tcPr>
          <w:p w14:paraId="145EFDFB" w14:textId="77777777" w:rsidR="006D5D4C" w:rsidRDefault="003C3368">
            <w:pPr>
              <w:spacing w:after="120"/>
              <w:jc w:val="center"/>
              <w:rPr>
                <w:rFonts w:cs="Times New Roman"/>
                <w:b/>
                <w:sz w:val="18"/>
                <w:szCs w:val="20"/>
              </w:rPr>
            </w:pPr>
            <w:r>
              <w:rPr>
                <w:b/>
                <w:sz w:val="18"/>
                <w:szCs w:val="20"/>
              </w:rPr>
              <w:t>Lichtenšteinas</w:t>
            </w:r>
          </w:p>
        </w:tc>
        <w:tc>
          <w:tcPr>
            <w:tcW w:w="363" w:type="pct"/>
            <w:tcBorders>
              <w:top w:val="double" w:sz="4" w:space="0" w:color="auto"/>
              <w:left w:val="single" w:sz="6" w:space="0" w:color="auto"/>
              <w:bottom w:val="double" w:sz="4" w:space="0" w:color="auto"/>
              <w:right w:val="single" w:sz="6" w:space="0" w:color="auto"/>
            </w:tcBorders>
            <w:vAlign w:val="center"/>
          </w:tcPr>
          <w:p w14:paraId="1B424AAC" w14:textId="77777777" w:rsidR="006D5D4C" w:rsidRDefault="003C3368">
            <w:pPr>
              <w:spacing w:after="120"/>
              <w:jc w:val="center"/>
              <w:rPr>
                <w:rFonts w:cs="Times New Roman"/>
                <w:b/>
                <w:sz w:val="18"/>
                <w:szCs w:val="20"/>
              </w:rPr>
            </w:pPr>
            <w:r>
              <w:rPr>
                <w:b/>
                <w:sz w:val="18"/>
                <w:szCs w:val="20"/>
              </w:rPr>
              <w:t>Norvegija</w:t>
            </w:r>
          </w:p>
        </w:tc>
        <w:tc>
          <w:tcPr>
            <w:tcW w:w="468" w:type="pct"/>
            <w:tcBorders>
              <w:top w:val="double" w:sz="4" w:space="0" w:color="auto"/>
              <w:left w:val="single" w:sz="6" w:space="0" w:color="auto"/>
              <w:bottom w:val="double" w:sz="4" w:space="0" w:color="auto"/>
              <w:right w:val="single" w:sz="6" w:space="0" w:color="auto"/>
            </w:tcBorders>
            <w:vAlign w:val="center"/>
          </w:tcPr>
          <w:p w14:paraId="59375CB5" w14:textId="77777777" w:rsidR="006D5D4C" w:rsidRDefault="003C3368">
            <w:pPr>
              <w:spacing w:after="120"/>
              <w:jc w:val="center"/>
              <w:rPr>
                <w:rFonts w:cs="Times New Roman"/>
                <w:b/>
                <w:sz w:val="18"/>
                <w:szCs w:val="20"/>
              </w:rPr>
            </w:pPr>
            <w:r>
              <w:rPr>
                <w:b/>
                <w:sz w:val="18"/>
                <w:szCs w:val="20"/>
              </w:rPr>
              <w:t>Šveicarija</w:t>
            </w:r>
          </w:p>
        </w:tc>
        <w:tc>
          <w:tcPr>
            <w:tcW w:w="421" w:type="pct"/>
            <w:tcBorders>
              <w:top w:val="double" w:sz="4" w:space="0" w:color="auto"/>
              <w:left w:val="single" w:sz="6" w:space="0" w:color="auto"/>
              <w:bottom w:val="double" w:sz="4" w:space="0" w:color="auto"/>
              <w:right w:val="single" w:sz="6" w:space="0" w:color="auto"/>
            </w:tcBorders>
          </w:tcPr>
          <w:p w14:paraId="3BEC7CBF" w14:textId="77777777" w:rsidR="006D5D4C" w:rsidRDefault="003C3368">
            <w:pPr>
              <w:spacing w:after="120"/>
              <w:jc w:val="center"/>
              <w:rPr>
                <w:rFonts w:cs="Times New Roman"/>
                <w:b/>
                <w:sz w:val="18"/>
                <w:szCs w:val="20"/>
              </w:rPr>
            </w:pPr>
            <w:r>
              <w:rPr>
                <w:b/>
                <w:sz w:val="18"/>
                <w:szCs w:val="20"/>
              </w:rPr>
              <w:t>Kita</w:t>
            </w:r>
          </w:p>
        </w:tc>
        <w:tc>
          <w:tcPr>
            <w:tcW w:w="421" w:type="pct"/>
            <w:tcBorders>
              <w:top w:val="double" w:sz="4" w:space="0" w:color="auto"/>
              <w:left w:val="single" w:sz="6" w:space="0" w:color="auto"/>
              <w:bottom w:val="double" w:sz="4" w:space="0" w:color="auto"/>
              <w:right w:val="double" w:sz="4" w:space="0" w:color="auto"/>
            </w:tcBorders>
            <w:vAlign w:val="center"/>
          </w:tcPr>
          <w:p w14:paraId="7A7A81ED" w14:textId="77777777" w:rsidR="006D5D4C" w:rsidRDefault="006D5D4C">
            <w:pPr>
              <w:spacing w:after="120"/>
              <w:jc w:val="center"/>
              <w:rPr>
                <w:rFonts w:cs="Times New Roman"/>
                <w:b/>
                <w:sz w:val="18"/>
                <w:szCs w:val="20"/>
              </w:rPr>
            </w:pPr>
          </w:p>
        </w:tc>
      </w:tr>
      <w:tr w:rsidR="006D5D4C" w14:paraId="4E876776" w14:textId="77777777" w:rsidTr="00711EA7">
        <w:trPr>
          <w:jc w:val="center"/>
        </w:trPr>
        <w:tc>
          <w:tcPr>
            <w:tcW w:w="292" w:type="pct"/>
            <w:tcBorders>
              <w:top w:val="double" w:sz="4" w:space="0" w:color="auto"/>
              <w:left w:val="double" w:sz="4" w:space="0" w:color="auto"/>
              <w:bottom w:val="single" w:sz="4" w:space="0" w:color="auto"/>
              <w:right w:val="single" w:sz="4" w:space="0" w:color="auto"/>
            </w:tcBorders>
          </w:tcPr>
          <w:p w14:paraId="088EC63A" w14:textId="77777777" w:rsidR="006D5D4C" w:rsidRDefault="006D5D4C">
            <w:pPr>
              <w:spacing w:after="120"/>
              <w:jc w:val="center"/>
              <w:rPr>
                <w:rFonts w:cs="Times New Roman"/>
                <w:sz w:val="18"/>
                <w:szCs w:val="20"/>
              </w:rPr>
            </w:pPr>
          </w:p>
        </w:tc>
        <w:tc>
          <w:tcPr>
            <w:tcW w:w="206" w:type="pct"/>
            <w:tcBorders>
              <w:top w:val="double" w:sz="4" w:space="0" w:color="auto"/>
              <w:left w:val="double" w:sz="4" w:space="0" w:color="auto"/>
              <w:bottom w:val="single" w:sz="4" w:space="0" w:color="auto"/>
              <w:right w:val="single" w:sz="4" w:space="0" w:color="auto"/>
            </w:tcBorders>
          </w:tcPr>
          <w:p w14:paraId="68575CCF" w14:textId="77777777" w:rsidR="006D5D4C" w:rsidRDefault="006D5D4C">
            <w:pPr>
              <w:spacing w:after="120"/>
              <w:jc w:val="center"/>
              <w:rPr>
                <w:rFonts w:cs="Times New Roman"/>
                <w:sz w:val="18"/>
                <w:szCs w:val="20"/>
              </w:rPr>
            </w:pPr>
          </w:p>
        </w:tc>
        <w:tc>
          <w:tcPr>
            <w:tcW w:w="206" w:type="pct"/>
            <w:tcBorders>
              <w:top w:val="double" w:sz="4" w:space="0" w:color="auto"/>
              <w:left w:val="single" w:sz="4" w:space="0" w:color="auto"/>
              <w:bottom w:val="single" w:sz="4" w:space="0" w:color="auto"/>
              <w:right w:val="single" w:sz="4" w:space="0" w:color="auto"/>
            </w:tcBorders>
            <w:vAlign w:val="center"/>
          </w:tcPr>
          <w:p w14:paraId="7A9064CF" w14:textId="77777777" w:rsidR="006D5D4C" w:rsidRDefault="006D5D4C">
            <w:pPr>
              <w:spacing w:after="120"/>
              <w:jc w:val="center"/>
              <w:rPr>
                <w:rFonts w:cs="Times New Roman"/>
                <w:sz w:val="18"/>
                <w:szCs w:val="20"/>
              </w:rPr>
            </w:pPr>
          </w:p>
        </w:tc>
        <w:tc>
          <w:tcPr>
            <w:tcW w:w="197" w:type="pct"/>
            <w:tcBorders>
              <w:top w:val="double" w:sz="4" w:space="0" w:color="auto"/>
              <w:left w:val="single" w:sz="4" w:space="0" w:color="auto"/>
              <w:bottom w:val="single" w:sz="4" w:space="0" w:color="auto"/>
              <w:right w:val="single" w:sz="4" w:space="0" w:color="auto"/>
            </w:tcBorders>
          </w:tcPr>
          <w:p w14:paraId="107863D2" w14:textId="77777777" w:rsidR="006D5D4C" w:rsidRDefault="006D5D4C">
            <w:pPr>
              <w:spacing w:after="120"/>
              <w:jc w:val="center"/>
              <w:rPr>
                <w:rFonts w:cs="Times New Roman"/>
                <w:sz w:val="18"/>
                <w:szCs w:val="20"/>
              </w:rPr>
            </w:pPr>
          </w:p>
        </w:tc>
        <w:tc>
          <w:tcPr>
            <w:tcW w:w="261" w:type="pct"/>
            <w:tcBorders>
              <w:top w:val="double" w:sz="4" w:space="0" w:color="auto"/>
              <w:left w:val="single" w:sz="4" w:space="0" w:color="auto"/>
              <w:bottom w:val="single" w:sz="4" w:space="0" w:color="auto"/>
              <w:right w:val="single" w:sz="4" w:space="0" w:color="auto"/>
            </w:tcBorders>
            <w:vAlign w:val="center"/>
          </w:tcPr>
          <w:p w14:paraId="759A241C" w14:textId="77777777" w:rsidR="006D5D4C" w:rsidRDefault="006D5D4C">
            <w:pPr>
              <w:spacing w:after="120"/>
              <w:jc w:val="center"/>
              <w:rPr>
                <w:rFonts w:cs="Times New Roman"/>
                <w:sz w:val="18"/>
                <w:szCs w:val="20"/>
              </w:rPr>
            </w:pPr>
          </w:p>
        </w:tc>
        <w:tc>
          <w:tcPr>
            <w:tcW w:w="195" w:type="pct"/>
            <w:tcBorders>
              <w:top w:val="double" w:sz="4" w:space="0" w:color="auto"/>
              <w:left w:val="single" w:sz="4" w:space="0" w:color="auto"/>
              <w:bottom w:val="single" w:sz="4" w:space="0" w:color="auto"/>
              <w:right w:val="single" w:sz="4" w:space="0" w:color="auto"/>
            </w:tcBorders>
          </w:tcPr>
          <w:p w14:paraId="3568488C" w14:textId="77777777" w:rsidR="006D5D4C" w:rsidRDefault="006D5D4C">
            <w:pPr>
              <w:spacing w:after="120"/>
              <w:jc w:val="center"/>
              <w:rPr>
                <w:rFonts w:cs="Times New Roman"/>
                <w:sz w:val="18"/>
                <w:szCs w:val="20"/>
              </w:rPr>
            </w:pPr>
          </w:p>
        </w:tc>
        <w:tc>
          <w:tcPr>
            <w:tcW w:w="267" w:type="pct"/>
            <w:tcBorders>
              <w:top w:val="double" w:sz="4" w:space="0" w:color="auto"/>
              <w:left w:val="single" w:sz="4" w:space="0" w:color="auto"/>
              <w:bottom w:val="single" w:sz="4" w:space="0" w:color="auto"/>
              <w:right w:val="single" w:sz="4" w:space="0" w:color="auto"/>
            </w:tcBorders>
            <w:vAlign w:val="center"/>
          </w:tcPr>
          <w:p w14:paraId="7CB3FECB" w14:textId="77777777" w:rsidR="006D5D4C" w:rsidRDefault="006D5D4C">
            <w:pPr>
              <w:spacing w:after="120"/>
              <w:jc w:val="center"/>
              <w:rPr>
                <w:rFonts w:cs="Times New Roman"/>
                <w:sz w:val="18"/>
                <w:szCs w:val="20"/>
              </w:rPr>
            </w:pPr>
          </w:p>
        </w:tc>
        <w:tc>
          <w:tcPr>
            <w:tcW w:w="238" w:type="pct"/>
            <w:tcBorders>
              <w:top w:val="double" w:sz="4" w:space="0" w:color="auto"/>
              <w:left w:val="single" w:sz="4" w:space="0" w:color="auto"/>
              <w:bottom w:val="single" w:sz="4" w:space="0" w:color="auto"/>
              <w:right w:val="single" w:sz="4" w:space="0" w:color="auto"/>
            </w:tcBorders>
            <w:vAlign w:val="center"/>
          </w:tcPr>
          <w:p w14:paraId="2042AD15" w14:textId="77777777" w:rsidR="006D5D4C" w:rsidRDefault="006D5D4C">
            <w:pPr>
              <w:spacing w:after="120"/>
              <w:jc w:val="center"/>
              <w:rPr>
                <w:rFonts w:cs="Times New Roman"/>
                <w:sz w:val="18"/>
                <w:szCs w:val="20"/>
              </w:rPr>
            </w:pPr>
          </w:p>
        </w:tc>
        <w:tc>
          <w:tcPr>
            <w:tcW w:w="270" w:type="pct"/>
            <w:tcBorders>
              <w:top w:val="double" w:sz="4" w:space="0" w:color="auto"/>
              <w:left w:val="single" w:sz="4" w:space="0" w:color="auto"/>
              <w:bottom w:val="single" w:sz="4" w:space="0" w:color="auto"/>
              <w:right w:val="single" w:sz="4" w:space="0" w:color="auto"/>
            </w:tcBorders>
            <w:vAlign w:val="center"/>
          </w:tcPr>
          <w:p w14:paraId="38F6B15B" w14:textId="77777777" w:rsidR="006D5D4C" w:rsidRDefault="006D5D4C">
            <w:pPr>
              <w:spacing w:after="120"/>
              <w:jc w:val="center"/>
              <w:rPr>
                <w:rFonts w:cs="Times New Roman"/>
                <w:sz w:val="18"/>
                <w:szCs w:val="20"/>
              </w:rPr>
            </w:pPr>
          </w:p>
        </w:tc>
        <w:tc>
          <w:tcPr>
            <w:tcW w:w="235" w:type="pct"/>
            <w:tcBorders>
              <w:top w:val="double" w:sz="4" w:space="0" w:color="auto"/>
              <w:left w:val="single" w:sz="4" w:space="0" w:color="auto"/>
              <w:bottom w:val="single" w:sz="4" w:space="0" w:color="auto"/>
              <w:right w:val="single" w:sz="4" w:space="0" w:color="auto"/>
            </w:tcBorders>
            <w:vAlign w:val="center"/>
          </w:tcPr>
          <w:p w14:paraId="6AFEC8C5" w14:textId="77777777" w:rsidR="006D5D4C" w:rsidRDefault="006D5D4C">
            <w:pPr>
              <w:spacing w:after="120"/>
              <w:jc w:val="center"/>
              <w:rPr>
                <w:rFonts w:cs="Times New Roman"/>
                <w:sz w:val="18"/>
                <w:szCs w:val="20"/>
              </w:rPr>
            </w:pPr>
          </w:p>
        </w:tc>
        <w:tc>
          <w:tcPr>
            <w:tcW w:w="200" w:type="pct"/>
            <w:tcBorders>
              <w:top w:val="double" w:sz="4" w:space="0" w:color="auto"/>
              <w:left w:val="single" w:sz="4" w:space="0" w:color="auto"/>
              <w:bottom w:val="single" w:sz="4" w:space="0" w:color="auto"/>
              <w:right w:val="single" w:sz="4" w:space="0" w:color="auto"/>
            </w:tcBorders>
          </w:tcPr>
          <w:p w14:paraId="4B69302B" w14:textId="77777777" w:rsidR="006D5D4C" w:rsidRDefault="006D5D4C">
            <w:pPr>
              <w:spacing w:after="120"/>
              <w:jc w:val="center"/>
              <w:rPr>
                <w:rFonts w:cs="Times New Roman"/>
                <w:sz w:val="18"/>
                <w:szCs w:val="20"/>
              </w:rPr>
            </w:pPr>
          </w:p>
        </w:tc>
        <w:tc>
          <w:tcPr>
            <w:tcW w:w="287" w:type="pct"/>
            <w:tcBorders>
              <w:top w:val="double" w:sz="4" w:space="0" w:color="auto"/>
              <w:left w:val="single" w:sz="4" w:space="0" w:color="auto"/>
              <w:bottom w:val="single" w:sz="4" w:space="0" w:color="auto"/>
              <w:right w:val="single" w:sz="4" w:space="0" w:color="auto"/>
            </w:tcBorders>
            <w:vAlign w:val="center"/>
          </w:tcPr>
          <w:p w14:paraId="1D69AC2D" w14:textId="77777777" w:rsidR="006D5D4C" w:rsidRDefault="006D5D4C">
            <w:pPr>
              <w:spacing w:after="120"/>
              <w:jc w:val="center"/>
              <w:rPr>
                <w:rFonts w:cs="Times New Roman"/>
                <w:sz w:val="18"/>
                <w:szCs w:val="20"/>
              </w:rPr>
            </w:pPr>
          </w:p>
        </w:tc>
        <w:tc>
          <w:tcPr>
            <w:tcW w:w="473" w:type="pct"/>
            <w:tcBorders>
              <w:top w:val="double" w:sz="4" w:space="0" w:color="auto"/>
              <w:left w:val="single" w:sz="4" w:space="0" w:color="auto"/>
              <w:bottom w:val="single" w:sz="4" w:space="0" w:color="auto"/>
              <w:right w:val="single" w:sz="4" w:space="0" w:color="auto"/>
            </w:tcBorders>
            <w:vAlign w:val="center"/>
          </w:tcPr>
          <w:p w14:paraId="79FF09EB" w14:textId="77777777" w:rsidR="006D5D4C" w:rsidRDefault="006D5D4C">
            <w:pPr>
              <w:spacing w:after="120"/>
              <w:jc w:val="center"/>
              <w:rPr>
                <w:rFonts w:cs="Times New Roman"/>
                <w:sz w:val="18"/>
                <w:szCs w:val="20"/>
              </w:rPr>
            </w:pPr>
          </w:p>
        </w:tc>
        <w:tc>
          <w:tcPr>
            <w:tcW w:w="363" w:type="pct"/>
            <w:tcBorders>
              <w:top w:val="double" w:sz="4" w:space="0" w:color="auto"/>
              <w:left w:val="single" w:sz="4" w:space="0" w:color="auto"/>
              <w:bottom w:val="single" w:sz="4" w:space="0" w:color="auto"/>
              <w:right w:val="single" w:sz="4" w:space="0" w:color="auto"/>
            </w:tcBorders>
            <w:vAlign w:val="center"/>
          </w:tcPr>
          <w:p w14:paraId="482C78D4" w14:textId="77777777" w:rsidR="006D5D4C" w:rsidRDefault="006D5D4C">
            <w:pPr>
              <w:spacing w:after="120"/>
              <w:jc w:val="center"/>
              <w:rPr>
                <w:rFonts w:cs="Times New Roman"/>
                <w:sz w:val="18"/>
                <w:szCs w:val="20"/>
              </w:rPr>
            </w:pPr>
          </w:p>
        </w:tc>
        <w:tc>
          <w:tcPr>
            <w:tcW w:w="468" w:type="pct"/>
            <w:tcBorders>
              <w:top w:val="double" w:sz="4" w:space="0" w:color="auto"/>
              <w:left w:val="single" w:sz="4" w:space="0" w:color="auto"/>
              <w:bottom w:val="single" w:sz="4" w:space="0" w:color="auto"/>
              <w:right w:val="single" w:sz="4" w:space="0" w:color="auto"/>
            </w:tcBorders>
            <w:vAlign w:val="center"/>
          </w:tcPr>
          <w:p w14:paraId="6D242B9D" w14:textId="77777777" w:rsidR="006D5D4C" w:rsidRDefault="006D5D4C">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single" w:sz="4" w:space="0" w:color="auto"/>
            </w:tcBorders>
            <w:vAlign w:val="center"/>
          </w:tcPr>
          <w:p w14:paraId="1FAA14A2" w14:textId="77777777" w:rsidR="006D5D4C" w:rsidRDefault="006D5D4C">
            <w:pPr>
              <w:spacing w:after="120"/>
              <w:jc w:val="center"/>
              <w:rPr>
                <w:rFonts w:cs="Times New Roman"/>
                <w:sz w:val="18"/>
                <w:szCs w:val="20"/>
              </w:rPr>
            </w:pPr>
          </w:p>
        </w:tc>
        <w:tc>
          <w:tcPr>
            <w:tcW w:w="421" w:type="pct"/>
            <w:tcBorders>
              <w:top w:val="double" w:sz="4" w:space="0" w:color="auto"/>
              <w:left w:val="single" w:sz="4" w:space="0" w:color="auto"/>
              <w:bottom w:val="single" w:sz="4" w:space="0" w:color="auto"/>
              <w:right w:val="double" w:sz="4" w:space="0" w:color="auto"/>
            </w:tcBorders>
            <w:vAlign w:val="center"/>
          </w:tcPr>
          <w:p w14:paraId="5AE64239" w14:textId="77777777" w:rsidR="006D5D4C" w:rsidRDefault="006D5D4C">
            <w:pPr>
              <w:spacing w:after="120"/>
              <w:jc w:val="center"/>
              <w:rPr>
                <w:rFonts w:cs="Times New Roman"/>
                <w:sz w:val="18"/>
                <w:szCs w:val="20"/>
              </w:rPr>
            </w:pPr>
          </w:p>
        </w:tc>
      </w:tr>
    </w:tbl>
    <w:p w14:paraId="74F70063" w14:textId="77777777" w:rsidR="006D5D4C" w:rsidRDefault="006D5D4C"/>
    <w:p w14:paraId="58272038" w14:textId="6EA43E98" w:rsidR="006D5D4C" w:rsidRDefault="00657E80">
      <w:pPr>
        <w:pStyle w:val="ListParagraph"/>
        <w:numPr>
          <w:ilvl w:val="0"/>
          <w:numId w:val="36"/>
        </w:numPr>
      </w:pPr>
      <w:r>
        <w:t>Bendrovės vaidmuo (pažymėkite visus tinkamus atsakymus)</w:t>
      </w:r>
      <w:r>
        <w:cr/>
      </w:r>
      <w:r>
        <w:br/>
      </w:r>
    </w:p>
    <w:p w14:paraId="700BDD22" w14:textId="13FBF4D5" w:rsidR="006D5D4C" w:rsidRDefault="00657E80">
      <w:pPr>
        <w:pStyle w:val="ListParagraph"/>
        <w:numPr>
          <w:ilvl w:val="0"/>
          <w:numId w:val="17"/>
        </w:numPr>
      </w:pPr>
      <w:r>
        <w:t>Cheminių medžiagų gamintojas</w:t>
      </w:r>
      <w:r>
        <w:rPr>
          <w:rStyle w:val="FootnoteReference"/>
        </w:rPr>
        <w:footnoteReference w:id="3"/>
      </w:r>
    </w:p>
    <w:p w14:paraId="122F448F" w14:textId="1E9F2CF9" w:rsidR="006D5D4C" w:rsidRDefault="00657E80">
      <w:pPr>
        <w:pStyle w:val="ListParagraph"/>
        <w:numPr>
          <w:ilvl w:val="0"/>
          <w:numId w:val="17"/>
        </w:numPr>
      </w:pPr>
      <w:r>
        <w:t>Importuotojas</w:t>
      </w:r>
      <w:r>
        <w:rPr>
          <w:rStyle w:val="FootnoteReference"/>
        </w:rPr>
        <w:footnoteReference w:id="4"/>
      </w:r>
    </w:p>
    <w:p w14:paraId="3A65E84F" w14:textId="6AB9001A" w:rsidR="006D5D4C" w:rsidRDefault="00657E80">
      <w:pPr>
        <w:pStyle w:val="ListParagraph"/>
        <w:numPr>
          <w:ilvl w:val="0"/>
          <w:numId w:val="17"/>
        </w:numPr>
      </w:pPr>
      <w:r>
        <w:t>Mišinio ruošėjas</w:t>
      </w:r>
      <w:r>
        <w:rPr>
          <w:rStyle w:val="FootnoteReference"/>
        </w:rPr>
        <w:footnoteReference w:id="5"/>
      </w:r>
    </w:p>
    <w:p w14:paraId="728DE7AD" w14:textId="60C5967A" w:rsidR="006D5D4C" w:rsidRDefault="00657E80">
      <w:pPr>
        <w:pStyle w:val="ListParagraph"/>
        <w:numPr>
          <w:ilvl w:val="0"/>
          <w:numId w:val="17"/>
        </w:numPr>
      </w:pPr>
      <w:r>
        <w:t>Platintojas</w:t>
      </w:r>
      <w:r>
        <w:rPr>
          <w:rStyle w:val="FootnoteReference"/>
        </w:rPr>
        <w:footnoteReference w:id="6"/>
      </w:r>
    </w:p>
    <w:p w14:paraId="48FDD4E7" w14:textId="562A71DA" w:rsidR="006D5D4C" w:rsidRDefault="004B3383">
      <w:pPr>
        <w:pStyle w:val="ListParagraph"/>
        <w:numPr>
          <w:ilvl w:val="0"/>
          <w:numId w:val="17"/>
        </w:numPr>
      </w:pPr>
      <w:r>
        <w:t>Vienintelis atstovas</w:t>
      </w:r>
      <w:r>
        <w:rPr>
          <w:rStyle w:val="FootnoteReference"/>
        </w:rPr>
        <w:footnoteReference w:id="7"/>
      </w:r>
    </w:p>
    <w:p w14:paraId="4CDD81E7" w14:textId="4F20BBD9" w:rsidR="006D5D4C" w:rsidRDefault="00174561">
      <w:pPr>
        <w:pStyle w:val="ListParagraph"/>
        <w:numPr>
          <w:ilvl w:val="0"/>
          <w:numId w:val="17"/>
        </w:numPr>
      </w:pPr>
      <w:r>
        <w:lastRenderedPageBreak/>
        <w:t>Tolesnis naudotojas (pramoninis arba profesionalus naudotojas)</w:t>
      </w:r>
      <w:r>
        <w:rPr>
          <w:rStyle w:val="FootnoteReference"/>
        </w:rPr>
        <w:footnoteReference w:id="8"/>
      </w:r>
    </w:p>
    <w:p w14:paraId="68CD488B" w14:textId="3EE3C0B7" w:rsidR="006D5D4C" w:rsidRDefault="00657E80">
      <w:pPr>
        <w:pStyle w:val="ListParagraph"/>
        <w:numPr>
          <w:ilvl w:val="0"/>
          <w:numId w:val="17"/>
        </w:numPr>
      </w:pPr>
      <w:r>
        <w:t>Gaminių tiekėjas (gamintojas/importuotojas/didmenininkas/mažmenininkas)</w:t>
      </w:r>
      <w:r>
        <w:rPr>
          <w:rStyle w:val="FootnoteReference"/>
        </w:rPr>
        <w:footnoteReference w:id="9"/>
      </w:r>
    </w:p>
    <w:p w14:paraId="6FD0243D" w14:textId="7F39416B" w:rsidR="006D5D4C" w:rsidRDefault="00007FAF">
      <w:pPr>
        <w:pStyle w:val="ListParagraph"/>
        <w:numPr>
          <w:ilvl w:val="0"/>
          <w:numId w:val="17"/>
        </w:numPr>
      </w:pPr>
      <w:r>
        <w:t>Kita (nurodyti)</w:t>
      </w:r>
    </w:p>
    <w:p w14:paraId="2664DD3B" w14:textId="7972EF46" w:rsidR="006D5D4C" w:rsidRDefault="005A63CD">
      <w:pPr>
        <w:pStyle w:val="Numbering"/>
        <w:numPr>
          <w:ilvl w:val="0"/>
          <w:numId w:val="36"/>
        </w:numPr>
        <w:spacing w:after="240"/>
      </w:pPr>
      <w:r>
        <w:t xml:space="preserve">Kuriame iš šių sektorių vykdote veiklą? Pažymėkite visus tinkamus atsakymus. </w:t>
      </w:r>
    </w:p>
    <w:tbl>
      <w:tblPr>
        <w:tblStyle w:val="TableGrid"/>
        <w:tblW w:w="4985" w:type="pct"/>
        <w:tblInd w:w="108" w:type="dxa"/>
        <w:tblLayout w:type="fixed"/>
        <w:tblLook w:val="04A0" w:firstRow="1" w:lastRow="0" w:firstColumn="1" w:lastColumn="0" w:noHBand="0" w:noVBand="1"/>
      </w:tblPr>
      <w:tblGrid>
        <w:gridCol w:w="2008"/>
        <w:gridCol w:w="802"/>
        <w:gridCol w:w="2140"/>
        <w:gridCol w:w="802"/>
        <w:gridCol w:w="2140"/>
        <w:gridCol w:w="802"/>
      </w:tblGrid>
      <w:tr w:rsidR="006D5D4C" w14:paraId="08FC7177" w14:textId="77777777" w:rsidTr="004B3383">
        <w:trPr>
          <w:trHeight w:val="237"/>
        </w:trPr>
        <w:tc>
          <w:tcPr>
            <w:tcW w:w="1155" w:type="pct"/>
            <w:shd w:val="clear" w:color="auto" w:fill="auto"/>
            <w:vAlign w:val="center"/>
          </w:tcPr>
          <w:p w14:paraId="0687E705" w14:textId="77777777" w:rsidR="006D5D4C" w:rsidRDefault="005A63CD">
            <w:pPr>
              <w:pStyle w:val="Numbering"/>
              <w:numPr>
                <w:ilvl w:val="0"/>
                <w:numId w:val="0"/>
              </w:numPr>
              <w:spacing w:before="0"/>
              <w:jc w:val="left"/>
              <w:rPr>
                <w:rFonts w:ascii="Calibri" w:eastAsia="Calibri" w:hAnsi="Calibri" w:cs="Times New Roman"/>
                <w:sz w:val="20"/>
                <w:szCs w:val="20"/>
              </w:rPr>
            </w:pPr>
            <w:r>
              <w:rPr>
                <w:rFonts w:ascii="Calibri" w:hAnsi="Calibri"/>
                <w:sz w:val="20"/>
                <w:szCs w:val="20"/>
              </w:rPr>
              <w:t>Pagrindinės cheminės medžiagos</w:t>
            </w:r>
          </w:p>
        </w:tc>
        <w:tc>
          <w:tcPr>
            <w:tcW w:w="461" w:type="pct"/>
            <w:shd w:val="clear" w:color="auto" w:fill="auto"/>
            <w:vAlign w:val="center"/>
          </w:tcPr>
          <w:p w14:paraId="26B66257"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3DE76DEF" w14:textId="77777777" w:rsidR="006D5D4C" w:rsidRDefault="005A63CD">
            <w:pPr>
              <w:rPr>
                <w:sz w:val="20"/>
                <w:szCs w:val="20"/>
              </w:rPr>
            </w:pPr>
            <w:r>
              <w:rPr>
                <w:sz w:val="20"/>
                <w:szCs w:val="20"/>
              </w:rPr>
              <w:t>Plastikas</w:t>
            </w:r>
          </w:p>
        </w:tc>
        <w:tc>
          <w:tcPr>
            <w:tcW w:w="461" w:type="pct"/>
            <w:shd w:val="clear" w:color="auto" w:fill="auto"/>
            <w:vAlign w:val="center"/>
          </w:tcPr>
          <w:p w14:paraId="72714ADB"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7F519603" w14:textId="77777777" w:rsidR="006D5D4C" w:rsidRDefault="005A63CD">
            <w:pPr>
              <w:rPr>
                <w:sz w:val="20"/>
                <w:szCs w:val="20"/>
              </w:rPr>
            </w:pPr>
            <w:r>
              <w:rPr>
                <w:sz w:val="20"/>
                <w:szCs w:val="20"/>
              </w:rPr>
              <w:t>Plovikliai ir valymo priemonės</w:t>
            </w:r>
          </w:p>
        </w:tc>
        <w:tc>
          <w:tcPr>
            <w:tcW w:w="461" w:type="pct"/>
            <w:shd w:val="clear" w:color="auto" w:fill="auto"/>
          </w:tcPr>
          <w:p w14:paraId="77F4E4DA"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7CAB1719" w14:textId="77777777" w:rsidTr="004B3383">
        <w:trPr>
          <w:trHeight w:val="237"/>
        </w:trPr>
        <w:tc>
          <w:tcPr>
            <w:tcW w:w="1155" w:type="pct"/>
            <w:shd w:val="clear" w:color="auto" w:fill="auto"/>
            <w:vAlign w:val="center"/>
          </w:tcPr>
          <w:p w14:paraId="579995DB" w14:textId="77777777" w:rsidR="006D5D4C" w:rsidRDefault="005A63CD">
            <w:pPr>
              <w:pStyle w:val="Numbering"/>
              <w:numPr>
                <w:ilvl w:val="0"/>
                <w:numId w:val="0"/>
              </w:numPr>
              <w:spacing w:before="0"/>
              <w:jc w:val="left"/>
              <w:rPr>
                <w:rFonts w:ascii="Calibri" w:eastAsia="Calibri" w:hAnsi="Calibri" w:cs="Times New Roman"/>
                <w:sz w:val="20"/>
                <w:szCs w:val="20"/>
              </w:rPr>
            </w:pPr>
            <w:r>
              <w:rPr>
                <w:rFonts w:ascii="Calibri" w:hAnsi="Calibri"/>
                <w:sz w:val="20"/>
                <w:szCs w:val="20"/>
              </w:rPr>
              <w:t>Specializuotos cheminės medžiagos</w:t>
            </w:r>
          </w:p>
        </w:tc>
        <w:tc>
          <w:tcPr>
            <w:tcW w:w="461" w:type="pct"/>
            <w:shd w:val="clear" w:color="auto" w:fill="auto"/>
            <w:vAlign w:val="center"/>
          </w:tcPr>
          <w:p w14:paraId="3A16D22B"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18898CC5" w14:textId="77777777" w:rsidR="006D5D4C" w:rsidRDefault="005A63CD">
            <w:pPr>
              <w:rPr>
                <w:sz w:val="20"/>
                <w:szCs w:val="20"/>
              </w:rPr>
            </w:pPr>
            <w:r>
              <w:rPr>
                <w:sz w:val="20"/>
                <w:szCs w:val="20"/>
              </w:rPr>
              <w:t>Žaislai</w:t>
            </w:r>
          </w:p>
        </w:tc>
        <w:tc>
          <w:tcPr>
            <w:tcW w:w="461" w:type="pct"/>
            <w:shd w:val="clear" w:color="auto" w:fill="auto"/>
            <w:vAlign w:val="center"/>
          </w:tcPr>
          <w:p w14:paraId="6FEA308A"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06550936" w14:textId="77777777" w:rsidR="006D5D4C" w:rsidRDefault="005A63CD">
            <w:pPr>
              <w:rPr>
                <w:rFonts w:ascii="Calibri" w:eastAsia="Calibri" w:hAnsi="Calibri" w:cs="Times New Roman"/>
                <w:sz w:val="20"/>
                <w:szCs w:val="20"/>
              </w:rPr>
            </w:pPr>
            <w:r>
              <w:rPr>
                <w:sz w:val="20"/>
                <w:szCs w:val="20"/>
              </w:rPr>
              <w:t>Dažai, rašalas ir dangos</w:t>
            </w:r>
          </w:p>
        </w:tc>
        <w:tc>
          <w:tcPr>
            <w:tcW w:w="461" w:type="pct"/>
            <w:shd w:val="clear" w:color="auto" w:fill="auto"/>
          </w:tcPr>
          <w:p w14:paraId="074EFF76"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52CD8932" w14:textId="77777777" w:rsidTr="004B3383">
        <w:trPr>
          <w:trHeight w:val="271"/>
        </w:trPr>
        <w:tc>
          <w:tcPr>
            <w:tcW w:w="1155" w:type="pct"/>
            <w:shd w:val="clear" w:color="auto" w:fill="auto"/>
            <w:vAlign w:val="center"/>
          </w:tcPr>
          <w:p w14:paraId="4AA213FD" w14:textId="77777777" w:rsidR="006D5D4C" w:rsidRDefault="005A63CD">
            <w:pPr>
              <w:pStyle w:val="Numbering"/>
              <w:numPr>
                <w:ilvl w:val="0"/>
                <w:numId w:val="0"/>
              </w:numPr>
              <w:spacing w:before="0"/>
              <w:jc w:val="left"/>
              <w:rPr>
                <w:rFonts w:ascii="Calibri" w:eastAsia="Calibri" w:hAnsi="Calibri" w:cs="Times New Roman"/>
                <w:sz w:val="20"/>
                <w:szCs w:val="20"/>
              </w:rPr>
            </w:pPr>
            <w:r>
              <w:rPr>
                <w:rFonts w:ascii="Calibri" w:hAnsi="Calibri"/>
                <w:sz w:val="20"/>
                <w:szCs w:val="20"/>
              </w:rPr>
              <w:t>Cheminių produktų ruošimas</w:t>
            </w:r>
          </w:p>
        </w:tc>
        <w:tc>
          <w:tcPr>
            <w:tcW w:w="461" w:type="pct"/>
            <w:shd w:val="clear" w:color="auto" w:fill="auto"/>
            <w:vAlign w:val="center"/>
          </w:tcPr>
          <w:p w14:paraId="46E5BF21"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76E2363E" w14:textId="77777777" w:rsidR="006D5D4C" w:rsidRDefault="005A63CD">
            <w:pPr>
              <w:rPr>
                <w:rFonts w:ascii="Calibri" w:eastAsia="Calibri" w:hAnsi="Calibri" w:cs="Times New Roman"/>
                <w:sz w:val="20"/>
                <w:szCs w:val="20"/>
              </w:rPr>
            </w:pPr>
            <w:r>
              <w:rPr>
                <w:sz w:val="20"/>
                <w:szCs w:val="20"/>
              </w:rPr>
              <w:t>Sintetinė guma</w:t>
            </w:r>
          </w:p>
        </w:tc>
        <w:tc>
          <w:tcPr>
            <w:tcW w:w="461" w:type="pct"/>
            <w:shd w:val="clear" w:color="auto" w:fill="auto"/>
            <w:vAlign w:val="center"/>
          </w:tcPr>
          <w:p w14:paraId="5F47DFE2"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6364C893" w14:textId="77777777" w:rsidR="006D5D4C" w:rsidRDefault="005A63CD">
            <w:pPr>
              <w:rPr>
                <w:rFonts w:ascii="Calibri" w:eastAsia="Calibri" w:hAnsi="Calibri" w:cs="Times New Roman"/>
                <w:sz w:val="20"/>
                <w:szCs w:val="20"/>
              </w:rPr>
            </w:pPr>
            <w:r>
              <w:rPr>
                <w:sz w:val="20"/>
                <w:szCs w:val="20"/>
              </w:rPr>
              <w:t>Pagalbinės pramonei skirtos medžiagos</w:t>
            </w:r>
          </w:p>
        </w:tc>
        <w:tc>
          <w:tcPr>
            <w:tcW w:w="461" w:type="pct"/>
            <w:shd w:val="clear" w:color="auto" w:fill="auto"/>
          </w:tcPr>
          <w:p w14:paraId="2C6FA9B0"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69AB12E0" w14:textId="77777777" w:rsidTr="004B3383">
        <w:trPr>
          <w:trHeight w:val="275"/>
        </w:trPr>
        <w:tc>
          <w:tcPr>
            <w:tcW w:w="1155" w:type="pct"/>
            <w:shd w:val="clear" w:color="auto" w:fill="auto"/>
            <w:vAlign w:val="center"/>
          </w:tcPr>
          <w:p w14:paraId="32152F36" w14:textId="77777777" w:rsidR="006D5D4C" w:rsidRDefault="005A63CD">
            <w:pPr>
              <w:rPr>
                <w:rFonts w:ascii="Calibri" w:eastAsia="Calibri" w:hAnsi="Calibri" w:cs="Times New Roman"/>
                <w:sz w:val="20"/>
                <w:szCs w:val="20"/>
              </w:rPr>
            </w:pPr>
            <w:r>
              <w:rPr>
                <w:rFonts w:ascii="Calibri" w:hAnsi="Calibri"/>
                <w:sz w:val="20"/>
                <w:szCs w:val="20"/>
              </w:rPr>
              <w:t>Metalai</w:t>
            </w:r>
          </w:p>
        </w:tc>
        <w:tc>
          <w:tcPr>
            <w:tcW w:w="461" w:type="pct"/>
            <w:shd w:val="clear" w:color="auto" w:fill="auto"/>
            <w:vAlign w:val="center"/>
          </w:tcPr>
          <w:p w14:paraId="71C1019B"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14679318" w14:textId="77777777" w:rsidR="006D5D4C" w:rsidRDefault="005A63CD">
            <w:pPr>
              <w:rPr>
                <w:rFonts w:ascii="Calibri" w:eastAsia="Calibri" w:hAnsi="Calibri" w:cs="Times New Roman"/>
                <w:sz w:val="20"/>
                <w:szCs w:val="20"/>
              </w:rPr>
            </w:pPr>
            <w:r>
              <w:rPr>
                <w:rFonts w:ascii="Calibri" w:hAnsi="Calibri"/>
                <w:sz w:val="20"/>
                <w:szCs w:val="20"/>
              </w:rPr>
              <w:t>Veterinariniai vaistai</w:t>
            </w:r>
          </w:p>
        </w:tc>
        <w:tc>
          <w:tcPr>
            <w:tcW w:w="461" w:type="pct"/>
            <w:shd w:val="clear" w:color="auto" w:fill="auto"/>
            <w:vAlign w:val="center"/>
          </w:tcPr>
          <w:p w14:paraId="6482B5E4"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0588D22F" w14:textId="77777777" w:rsidR="006D5D4C" w:rsidRDefault="00174561">
            <w:pPr>
              <w:rPr>
                <w:rFonts w:ascii="Calibri" w:eastAsia="Calibri" w:hAnsi="Calibri" w:cs="Times New Roman"/>
                <w:sz w:val="20"/>
                <w:szCs w:val="20"/>
              </w:rPr>
            </w:pPr>
            <w:r>
              <w:rPr>
                <w:sz w:val="20"/>
                <w:szCs w:val="20"/>
              </w:rPr>
              <w:t>Aeronautika ir gynyba</w:t>
            </w:r>
            <w:r>
              <w:rPr>
                <w:rFonts w:ascii="Calibri" w:hAnsi="Calibri"/>
                <w:sz w:val="20"/>
                <w:szCs w:val="20"/>
              </w:rPr>
              <w:t xml:space="preserve"> </w:t>
            </w:r>
          </w:p>
        </w:tc>
        <w:tc>
          <w:tcPr>
            <w:tcW w:w="461" w:type="pct"/>
            <w:shd w:val="clear" w:color="auto" w:fill="auto"/>
          </w:tcPr>
          <w:p w14:paraId="6CF40D31"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73DA45A6" w14:textId="77777777" w:rsidTr="004B3383">
        <w:trPr>
          <w:trHeight w:val="218"/>
        </w:trPr>
        <w:tc>
          <w:tcPr>
            <w:tcW w:w="1155" w:type="pct"/>
            <w:shd w:val="clear" w:color="auto" w:fill="auto"/>
            <w:vAlign w:val="center"/>
          </w:tcPr>
          <w:p w14:paraId="07226B48" w14:textId="07002EB7" w:rsidR="006D5D4C" w:rsidRDefault="00787ACA">
            <w:pPr>
              <w:rPr>
                <w:rFonts w:ascii="Calibri" w:eastAsia="Calibri" w:hAnsi="Calibri" w:cs="Times New Roman"/>
                <w:sz w:val="20"/>
                <w:szCs w:val="20"/>
              </w:rPr>
            </w:pPr>
            <w:r>
              <w:rPr>
                <w:sz w:val="20"/>
                <w:szCs w:val="20"/>
              </w:rPr>
              <w:t>Virtuvės reikmenys</w:t>
            </w:r>
          </w:p>
        </w:tc>
        <w:tc>
          <w:tcPr>
            <w:tcW w:w="461" w:type="pct"/>
            <w:shd w:val="clear" w:color="auto" w:fill="auto"/>
            <w:vAlign w:val="center"/>
          </w:tcPr>
          <w:p w14:paraId="4E7A6DB7"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49CFE709" w14:textId="17AED749" w:rsidR="006D5D4C" w:rsidRDefault="00007FAF">
            <w:pPr>
              <w:rPr>
                <w:rFonts w:ascii="Calibri" w:eastAsia="Calibri" w:hAnsi="Calibri" w:cs="Times New Roman"/>
                <w:sz w:val="20"/>
                <w:szCs w:val="20"/>
              </w:rPr>
            </w:pPr>
            <w:r>
              <w:rPr>
                <w:rFonts w:ascii="Calibri" w:hAnsi="Calibri"/>
                <w:sz w:val="20"/>
                <w:szCs w:val="20"/>
              </w:rPr>
              <w:t>Žmonėms skirti vaistai</w:t>
            </w:r>
          </w:p>
        </w:tc>
        <w:tc>
          <w:tcPr>
            <w:tcW w:w="461" w:type="pct"/>
            <w:shd w:val="clear" w:color="auto" w:fill="auto"/>
            <w:vAlign w:val="center"/>
          </w:tcPr>
          <w:p w14:paraId="47DF3124"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586D08FE" w14:textId="2985C73D" w:rsidR="006D5D4C" w:rsidRDefault="00007FAF">
            <w:pPr>
              <w:rPr>
                <w:sz w:val="20"/>
                <w:szCs w:val="20"/>
              </w:rPr>
            </w:pPr>
            <w:r>
              <w:rPr>
                <w:sz w:val="20"/>
                <w:szCs w:val="20"/>
              </w:rPr>
              <w:t>Biocidiniai produktai</w:t>
            </w:r>
          </w:p>
        </w:tc>
        <w:tc>
          <w:tcPr>
            <w:tcW w:w="461" w:type="pct"/>
            <w:shd w:val="clear" w:color="auto" w:fill="auto"/>
          </w:tcPr>
          <w:p w14:paraId="69FEED16"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4D3FC491" w14:textId="77777777" w:rsidTr="004B3383">
        <w:trPr>
          <w:trHeight w:val="218"/>
        </w:trPr>
        <w:tc>
          <w:tcPr>
            <w:tcW w:w="1155" w:type="pct"/>
            <w:shd w:val="clear" w:color="auto" w:fill="auto"/>
            <w:vAlign w:val="center"/>
          </w:tcPr>
          <w:p w14:paraId="630001CD" w14:textId="77777777" w:rsidR="006D5D4C" w:rsidRDefault="005A63CD">
            <w:pPr>
              <w:rPr>
                <w:rFonts w:ascii="Calibri" w:eastAsia="Calibri" w:hAnsi="Calibri" w:cs="Times New Roman"/>
                <w:sz w:val="20"/>
                <w:szCs w:val="20"/>
              </w:rPr>
            </w:pPr>
            <w:r>
              <w:rPr>
                <w:rFonts w:ascii="Calibri" w:hAnsi="Calibri"/>
                <w:sz w:val="20"/>
                <w:szCs w:val="20"/>
              </w:rPr>
              <w:t>Lipalai ir klijai</w:t>
            </w:r>
          </w:p>
        </w:tc>
        <w:tc>
          <w:tcPr>
            <w:tcW w:w="461" w:type="pct"/>
            <w:shd w:val="clear" w:color="auto" w:fill="auto"/>
            <w:vAlign w:val="center"/>
          </w:tcPr>
          <w:p w14:paraId="1251FAEE"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6E142DB0" w14:textId="77777777" w:rsidR="006D5D4C" w:rsidRDefault="005A63CD">
            <w:pPr>
              <w:rPr>
                <w:rFonts w:ascii="Calibri" w:eastAsia="Calibri" w:hAnsi="Calibri" w:cs="Times New Roman"/>
                <w:sz w:val="20"/>
                <w:szCs w:val="20"/>
              </w:rPr>
            </w:pPr>
            <w:r>
              <w:rPr>
                <w:rFonts w:ascii="Calibri" w:hAnsi="Calibri"/>
                <w:sz w:val="20"/>
                <w:szCs w:val="20"/>
              </w:rPr>
              <w:t>Tepalai ir alyvos</w:t>
            </w:r>
          </w:p>
        </w:tc>
        <w:tc>
          <w:tcPr>
            <w:tcW w:w="461" w:type="pct"/>
            <w:shd w:val="clear" w:color="auto" w:fill="auto"/>
            <w:vAlign w:val="center"/>
          </w:tcPr>
          <w:p w14:paraId="17299FBE"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32E1F798" w14:textId="77777777" w:rsidR="006D5D4C" w:rsidRDefault="00174561">
            <w:pPr>
              <w:rPr>
                <w:sz w:val="20"/>
                <w:szCs w:val="20"/>
              </w:rPr>
            </w:pPr>
            <w:r>
              <w:rPr>
                <w:sz w:val="20"/>
                <w:szCs w:val="20"/>
              </w:rPr>
              <w:t xml:space="preserve">Kita gamyba </w:t>
            </w:r>
          </w:p>
        </w:tc>
        <w:tc>
          <w:tcPr>
            <w:tcW w:w="461" w:type="pct"/>
            <w:shd w:val="clear" w:color="auto" w:fill="auto"/>
          </w:tcPr>
          <w:p w14:paraId="21E44535"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37DE8985" w14:textId="77777777" w:rsidTr="004B3383">
        <w:trPr>
          <w:trHeight w:val="218"/>
        </w:trPr>
        <w:tc>
          <w:tcPr>
            <w:tcW w:w="1155" w:type="pct"/>
            <w:shd w:val="clear" w:color="auto" w:fill="auto"/>
            <w:vAlign w:val="center"/>
          </w:tcPr>
          <w:p w14:paraId="2264BF00" w14:textId="77777777" w:rsidR="006D5D4C" w:rsidRDefault="005A63CD">
            <w:pPr>
              <w:rPr>
                <w:sz w:val="20"/>
                <w:szCs w:val="20"/>
              </w:rPr>
            </w:pPr>
            <w:r>
              <w:rPr>
                <w:sz w:val="20"/>
                <w:szCs w:val="20"/>
              </w:rPr>
              <w:t>Trąšos</w:t>
            </w:r>
          </w:p>
        </w:tc>
        <w:tc>
          <w:tcPr>
            <w:tcW w:w="461" w:type="pct"/>
            <w:shd w:val="clear" w:color="auto" w:fill="auto"/>
            <w:vAlign w:val="center"/>
          </w:tcPr>
          <w:p w14:paraId="0E00320D"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388CE867" w14:textId="77777777" w:rsidR="006D5D4C" w:rsidRDefault="005A63CD">
            <w:pPr>
              <w:rPr>
                <w:sz w:val="20"/>
                <w:szCs w:val="20"/>
              </w:rPr>
            </w:pPr>
            <w:r>
              <w:rPr>
                <w:sz w:val="20"/>
                <w:szCs w:val="20"/>
              </w:rPr>
              <w:t>Dažikliai ir pigmentai</w:t>
            </w:r>
          </w:p>
        </w:tc>
        <w:tc>
          <w:tcPr>
            <w:tcW w:w="461" w:type="pct"/>
            <w:shd w:val="clear" w:color="auto" w:fill="auto"/>
            <w:vAlign w:val="center"/>
          </w:tcPr>
          <w:p w14:paraId="10BC7C6E"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29FE469A" w14:textId="77777777" w:rsidR="006D5D4C" w:rsidRDefault="00174561">
            <w:pPr>
              <w:rPr>
                <w:sz w:val="20"/>
                <w:szCs w:val="20"/>
              </w:rPr>
            </w:pPr>
            <w:r>
              <w:rPr>
                <w:sz w:val="20"/>
                <w:szCs w:val="20"/>
              </w:rPr>
              <w:t>Žemės ūkis</w:t>
            </w:r>
          </w:p>
        </w:tc>
        <w:tc>
          <w:tcPr>
            <w:tcW w:w="461" w:type="pct"/>
            <w:shd w:val="clear" w:color="auto" w:fill="auto"/>
          </w:tcPr>
          <w:p w14:paraId="1AE75618"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1349DD34" w14:textId="77777777" w:rsidTr="004B3383">
        <w:trPr>
          <w:trHeight w:val="275"/>
        </w:trPr>
        <w:tc>
          <w:tcPr>
            <w:tcW w:w="1155" w:type="pct"/>
            <w:shd w:val="clear" w:color="auto" w:fill="auto"/>
            <w:vAlign w:val="center"/>
          </w:tcPr>
          <w:p w14:paraId="6F4E92FF" w14:textId="77777777" w:rsidR="006D5D4C" w:rsidRDefault="005A63CD">
            <w:pPr>
              <w:rPr>
                <w:sz w:val="20"/>
                <w:szCs w:val="20"/>
              </w:rPr>
            </w:pPr>
            <w:r>
              <w:rPr>
                <w:sz w:val="20"/>
                <w:szCs w:val="20"/>
              </w:rPr>
              <w:t>Polimerai</w:t>
            </w:r>
          </w:p>
        </w:tc>
        <w:tc>
          <w:tcPr>
            <w:tcW w:w="461" w:type="pct"/>
            <w:shd w:val="clear" w:color="auto" w:fill="auto"/>
            <w:vAlign w:val="center"/>
          </w:tcPr>
          <w:p w14:paraId="346A3F1E"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6B042CC0" w14:textId="77777777" w:rsidR="006D5D4C" w:rsidRDefault="005A63CD">
            <w:pPr>
              <w:rPr>
                <w:sz w:val="20"/>
                <w:szCs w:val="20"/>
              </w:rPr>
            </w:pPr>
            <w:r>
              <w:rPr>
                <w:sz w:val="20"/>
                <w:szCs w:val="20"/>
              </w:rPr>
              <w:t>Pasėlių apsauga</w:t>
            </w:r>
          </w:p>
        </w:tc>
        <w:tc>
          <w:tcPr>
            <w:tcW w:w="461" w:type="pct"/>
            <w:shd w:val="clear" w:color="auto" w:fill="auto"/>
            <w:vAlign w:val="center"/>
          </w:tcPr>
          <w:p w14:paraId="1A35AD33"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18424323" w14:textId="77777777" w:rsidR="006D5D4C" w:rsidRDefault="00174561">
            <w:pPr>
              <w:rPr>
                <w:sz w:val="20"/>
                <w:szCs w:val="20"/>
              </w:rPr>
            </w:pPr>
            <w:r>
              <w:rPr>
                <w:sz w:val="20"/>
                <w:szCs w:val="20"/>
              </w:rPr>
              <w:t>Statyba</w:t>
            </w:r>
          </w:p>
        </w:tc>
        <w:tc>
          <w:tcPr>
            <w:tcW w:w="461" w:type="pct"/>
            <w:shd w:val="clear" w:color="auto" w:fill="auto"/>
          </w:tcPr>
          <w:p w14:paraId="411665BD"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3C646EFA" w14:textId="77777777" w:rsidTr="004B3383">
        <w:trPr>
          <w:trHeight w:val="275"/>
        </w:trPr>
        <w:tc>
          <w:tcPr>
            <w:tcW w:w="1155" w:type="pct"/>
            <w:shd w:val="clear" w:color="auto" w:fill="auto"/>
            <w:vAlign w:val="center"/>
          </w:tcPr>
          <w:p w14:paraId="13B7C9B1" w14:textId="77777777" w:rsidR="006D5D4C" w:rsidRDefault="005A63CD">
            <w:pPr>
              <w:rPr>
                <w:sz w:val="20"/>
                <w:szCs w:val="20"/>
              </w:rPr>
            </w:pPr>
            <w:r>
              <w:rPr>
                <w:sz w:val="20"/>
                <w:szCs w:val="20"/>
              </w:rPr>
              <w:t>Kosmetikos gaminiai</w:t>
            </w:r>
          </w:p>
        </w:tc>
        <w:tc>
          <w:tcPr>
            <w:tcW w:w="461" w:type="pct"/>
            <w:shd w:val="clear" w:color="auto" w:fill="auto"/>
            <w:vAlign w:val="center"/>
          </w:tcPr>
          <w:p w14:paraId="0CC14ED1"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6EF94E49" w14:textId="77777777" w:rsidR="006D5D4C" w:rsidRDefault="005A63CD">
            <w:pPr>
              <w:rPr>
                <w:sz w:val="20"/>
                <w:szCs w:val="20"/>
              </w:rPr>
            </w:pPr>
            <w:r>
              <w:rPr>
                <w:sz w:val="20"/>
                <w:szCs w:val="20"/>
              </w:rPr>
              <w:t>Popierius ir plaušiena</w:t>
            </w:r>
          </w:p>
        </w:tc>
        <w:tc>
          <w:tcPr>
            <w:tcW w:w="461" w:type="pct"/>
            <w:shd w:val="clear" w:color="auto" w:fill="auto"/>
            <w:vAlign w:val="center"/>
          </w:tcPr>
          <w:p w14:paraId="6D3D46B8"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62CEF8F4" w14:textId="77777777" w:rsidR="006D5D4C" w:rsidRDefault="00174561">
            <w:pPr>
              <w:rPr>
                <w:sz w:val="20"/>
                <w:szCs w:val="20"/>
              </w:rPr>
            </w:pPr>
            <w:r>
              <w:rPr>
                <w:sz w:val="20"/>
                <w:szCs w:val="20"/>
              </w:rPr>
              <w:t>Motorinių transporto priemonių remontas</w:t>
            </w:r>
          </w:p>
        </w:tc>
        <w:tc>
          <w:tcPr>
            <w:tcW w:w="461" w:type="pct"/>
            <w:shd w:val="clear" w:color="auto" w:fill="auto"/>
          </w:tcPr>
          <w:p w14:paraId="39318913"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4DFA79DC" w14:textId="77777777" w:rsidTr="004B3383">
        <w:trPr>
          <w:trHeight w:val="275"/>
        </w:trPr>
        <w:tc>
          <w:tcPr>
            <w:tcW w:w="1155" w:type="pct"/>
            <w:shd w:val="clear" w:color="auto" w:fill="auto"/>
            <w:vAlign w:val="center"/>
          </w:tcPr>
          <w:p w14:paraId="740234D3" w14:textId="77777777" w:rsidR="006D5D4C" w:rsidRDefault="00174561">
            <w:pPr>
              <w:rPr>
                <w:sz w:val="20"/>
                <w:szCs w:val="20"/>
              </w:rPr>
            </w:pPr>
            <w:r>
              <w:rPr>
                <w:sz w:val="20"/>
                <w:szCs w:val="20"/>
              </w:rPr>
              <w:t>Asmens higienos gaminiai</w:t>
            </w:r>
          </w:p>
        </w:tc>
        <w:tc>
          <w:tcPr>
            <w:tcW w:w="461" w:type="pct"/>
            <w:shd w:val="clear" w:color="auto" w:fill="auto"/>
            <w:vAlign w:val="center"/>
          </w:tcPr>
          <w:p w14:paraId="13B171D9"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19695A97" w14:textId="77777777" w:rsidR="006D5D4C" w:rsidRDefault="00174561">
            <w:pPr>
              <w:rPr>
                <w:sz w:val="20"/>
                <w:szCs w:val="20"/>
              </w:rPr>
            </w:pPr>
            <w:r>
              <w:rPr>
                <w:rFonts w:ascii="Calibri" w:hAnsi="Calibri"/>
                <w:sz w:val="20"/>
                <w:szCs w:val="20"/>
              </w:rPr>
              <w:t>Kasdienio vartojimo cheminės medžiagos</w:t>
            </w:r>
          </w:p>
        </w:tc>
        <w:tc>
          <w:tcPr>
            <w:tcW w:w="461" w:type="pct"/>
            <w:shd w:val="clear" w:color="auto" w:fill="auto"/>
            <w:vAlign w:val="center"/>
          </w:tcPr>
          <w:p w14:paraId="79C514A4"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18B5C3DA" w14:textId="77777777" w:rsidR="006D5D4C" w:rsidRDefault="00174561">
            <w:pPr>
              <w:rPr>
                <w:sz w:val="20"/>
                <w:szCs w:val="20"/>
              </w:rPr>
            </w:pPr>
            <w:r>
              <w:rPr>
                <w:sz w:val="20"/>
                <w:szCs w:val="20"/>
              </w:rPr>
              <w:t>Profesionalus dažymas ar apdaila</w:t>
            </w:r>
          </w:p>
        </w:tc>
        <w:tc>
          <w:tcPr>
            <w:tcW w:w="461" w:type="pct"/>
            <w:shd w:val="clear" w:color="auto" w:fill="auto"/>
          </w:tcPr>
          <w:p w14:paraId="102747CF"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3099E0AC" w14:textId="77777777" w:rsidTr="004B3383">
        <w:trPr>
          <w:trHeight w:val="275"/>
        </w:trPr>
        <w:tc>
          <w:tcPr>
            <w:tcW w:w="1155" w:type="pct"/>
            <w:shd w:val="clear" w:color="auto" w:fill="auto"/>
            <w:vAlign w:val="center"/>
          </w:tcPr>
          <w:p w14:paraId="1D21C677" w14:textId="77777777" w:rsidR="006D5D4C" w:rsidRDefault="00174561">
            <w:pPr>
              <w:rPr>
                <w:sz w:val="20"/>
                <w:szCs w:val="20"/>
              </w:rPr>
            </w:pPr>
            <w:r>
              <w:rPr>
                <w:sz w:val="20"/>
                <w:szCs w:val="20"/>
              </w:rPr>
              <w:t>Mažmeninė prekyba</w:t>
            </w:r>
          </w:p>
        </w:tc>
        <w:tc>
          <w:tcPr>
            <w:tcW w:w="461" w:type="pct"/>
            <w:shd w:val="clear" w:color="auto" w:fill="auto"/>
            <w:vAlign w:val="center"/>
          </w:tcPr>
          <w:p w14:paraId="33C77908"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067AEB6C" w14:textId="77777777" w:rsidR="006D5D4C" w:rsidRDefault="00174561">
            <w:pPr>
              <w:rPr>
                <w:sz w:val="20"/>
                <w:szCs w:val="20"/>
              </w:rPr>
            </w:pPr>
            <w:r>
              <w:rPr>
                <w:sz w:val="20"/>
                <w:szCs w:val="20"/>
              </w:rPr>
              <w:t>Aerozoliai</w:t>
            </w:r>
          </w:p>
        </w:tc>
        <w:tc>
          <w:tcPr>
            <w:tcW w:w="461" w:type="pct"/>
            <w:shd w:val="clear" w:color="auto" w:fill="auto"/>
            <w:vAlign w:val="center"/>
          </w:tcPr>
          <w:p w14:paraId="34A63499"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673CAB6B" w14:textId="77777777" w:rsidR="006D5D4C" w:rsidRDefault="00174561">
            <w:pPr>
              <w:rPr>
                <w:sz w:val="20"/>
                <w:szCs w:val="20"/>
              </w:rPr>
            </w:pPr>
            <w:r>
              <w:rPr>
                <w:sz w:val="20"/>
                <w:szCs w:val="20"/>
              </w:rPr>
              <w:t>Valymo paslaugos</w:t>
            </w:r>
          </w:p>
        </w:tc>
        <w:tc>
          <w:tcPr>
            <w:tcW w:w="461" w:type="pct"/>
            <w:shd w:val="clear" w:color="auto" w:fill="auto"/>
          </w:tcPr>
          <w:p w14:paraId="1D891FE9"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0570924E" w14:textId="77777777" w:rsidTr="004B3383">
        <w:trPr>
          <w:trHeight w:val="275"/>
        </w:trPr>
        <w:tc>
          <w:tcPr>
            <w:tcW w:w="1155" w:type="pct"/>
            <w:shd w:val="clear" w:color="auto" w:fill="auto"/>
            <w:vAlign w:val="center"/>
          </w:tcPr>
          <w:p w14:paraId="1A4CF4B6" w14:textId="77777777" w:rsidR="006D5D4C" w:rsidRDefault="00174561">
            <w:pPr>
              <w:rPr>
                <w:sz w:val="20"/>
                <w:szCs w:val="20"/>
              </w:rPr>
            </w:pPr>
            <w:r>
              <w:rPr>
                <w:sz w:val="20"/>
                <w:szCs w:val="20"/>
              </w:rPr>
              <w:t>Tekstilės gaminiai</w:t>
            </w:r>
          </w:p>
        </w:tc>
        <w:tc>
          <w:tcPr>
            <w:tcW w:w="461" w:type="pct"/>
            <w:shd w:val="clear" w:color="auto" w:fill="auto"/>
            <w:vAlign w:val="center"/>
          </w:tcPr>
          <w:p w14:paraId="1554B5DF"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6DD1F7FD" w14:textId="77777777" w:rsidR="006D5D4C" w:rsidRDefault="00174561">
            <w:pPr>
              <w:rPr>
                <w:sz w:val="20"/>
                <w:szCs w:val="20"/>
              </w:rPr>
            </w:pPr>
            <w:r>
              <w:rPr>
                <w:sz w:val="20"/>
                <w:szCs w:val="20"/>
              </w:rPr>
              <w:t>Degalai</w:t>
            </w:r>
          </w:p>
        </w:tc>
        <w:tc>
          <w:tcPr>
            <w:tcW w:w="461" w:type="pct"/>
            <w:shd w:val="clear" w:color="auto" w:fill="auto"/>
            <w:vAlign w:val="center"/>
          </w:tcPr>
          <w:p w14:paraId="2B2385CB"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0CD09158" w14:textId="77777777" w:rsidR="006D5D4C" w:rsidRDefault="00174561">
            <w:pPr>
              <w:rPr>
                <w:sz w:val="20"/>
                <w:szCs w:val="20"/>
              </w:rPr>
            </w:pPr>
            <w:r>
              <w:rPr>
                <w:sz w:val="20"/>
                <w:szCs w:val="20"/>
              </w:rPr>
              <w:t>Kiti profesionalūs cheminių medžiagų naudotojai</w:t>
            </w:r>
          </w:p>
        </w:tc>
        <w:tc>
          <w:tcPr>
            <w:tcW w:w="461" w:type="pct"/>
            <w:shd w:val="clear" w:color="auto" w:fill="auto"/>
          </w:tcPr>
          <w:p w14:paraId="38649338" w14:textId="77777777" w:rsidR="006D5D4C" w:rsidRDefault="006D5D4C">
            <w:pPr>
              <w:tabs>
                <w:tab w:val="left" w:pos="720"/>
                <w:tab w:val="center" w:pos="4513"/>
                <w:tab w:val="right" w:pos="9026"/>
              </w:tabs>
              <w:rPr>
                <w:rFonts w:ascii="Calibri" w:eastAsia="Calibri" w:hAnsi="Calibri" w:cs="Times New Roman"/>
                <w:sz w:val="20"/>
                <w:szCs w:val="20"/>
              </w:rPr>
            </w:pPr>
          </w:p>
        </w:tc>
      </w:tr>
      <w:tr w:rsidR="006D5D4C" w14:paraId="4A3919A4" w14:textId="77777777" w:rsidTr="004B3383">
        <w:trPr>
          <w:trHeight w:val="275"/>
        </w:trPr>
        <w:tc>
          <w:tcPr>
            <w:tcW w:w="1155" w:type="pct"/>
            <w:shd w:val="clear" w:color="auto" w:fill="auto"/>
            <w:vAlign w:val="center"/>
          </w:tcPr>
          <w:p w14:paraId="4AA96E56" w14:textId="77777777" w:rsidR="006D5D4C" w:rsidRDefault="00174561">
            <w:pPr>
              <w:rPr>
                <w:sz w:val="20"/>
                <w:szCs w:val="20"/>
              </w:rPr>
            </w:pPr>
            <w:r>
              <w:rPr>
                <w:sz w:val="20"/>
                <w:szCs w:val="20"/>
              </w:rPr>
              <w:t xml:space="preserve">Automobilių pramonė </w:t>
            </w:r>
          </w:p>
        </w:tc>
        <w:tc>
          <w:tcPr>
            <w:tcW w:w="461" w:type="pct"/>
            <w:shd w:val="clear" w:color="auto" w:fill="auto"/>
            <w:vAlign w:val="center"/>
          </w:tcPr>
          <w:p w14:paraId="60FAB554" w14:textId="77777777" w:rsidR="006D5D4C" w:rsidRDefault="006D5D4C">
            <w:pPr>
              <w:ind w:left="57"/>
              <w:jc w:val="center"/>
              <w:rPr>
                <w:rFonts w:ascii="Calibri" w:eastAsia="Times New Roman" w:hAnsi="Calibri" w:cs="Times New Roman"/>
                <w:sz w:val="20"/>
                <w:szCs w:val="20"/>
              </w:rPr>
            </w:pPr>
          </w:p>
        </w:tc>
        <w:tc>
          <w:tcPr>
            <w:tcW w:w="1231" w:type="pct"/>
            <w:shd w:val="clear" w:color="auto" w:fill="auto"/>
            <w:vAlign w:val="center"/>
          </w:tcPr>
          <w:p w14:paraId="0D0B3A6D" w14:textId="77777777" w:rsidR="006D5D4C" w:rsidRDefault="00174561">
            <w:pPr>
              <w:rPr>
                <w:sz w:val="20"/>
                <w:szCs w:val="20"/>
              </w:rPr>
            </w:pPr>
            <w:r>
              <w:rPr>
                <w:sz w:val="20"/>
                <w:szCs w:val="20"/>
              </w:rPr>
              <w:t xml:space="preserve">Elektronika </w:t>
            </w:r>
          </w:p>
        </w:tc>
        <w:tc>
          <w:tcPr>
            <w:tcW w:w="461" w:type="pct"/>
            <w:shd w:val="clear" w:color="auto" w:fill="auto"/>
            <w:vAlign w:val="center"/>
          </w:tcPr>
          <w:p w14:paraId="02CD1216" w14:textId="77777777" w:rsidR="006D5D4C" w:rsidRDefault="006D5D4C">
            <w:pPr>
              <w:widowControl w:val="0"/>
              <w:jc w:val="center"/>
              <w:rPr>
                <w:rFonts w:ascii="Calibri" w:eastAsia="Times New Roman" w:hAnsi="Calibri" w:cs="Times New Roman"/>
                <w:bCs/>
                <w:sz w:val="20"/>
                <w:szCs w:val="20"/>
              </w:rPr>
            </w:pPr>
          </w:p>
        </w:tc>
        <w:tc>
          <w:tcPr>
            <w:tcW w:w="1231" w:type="pct"/>
            <w:shd w:val="clear" w:color="auto" w:fill="auto"/>
            <w:vAlign w:val="center"/>
          </w:tcPr>
          <w:p w14:paraId="103B8919" w14:textId="6015E2C6" w:rsidR="006D5D4C" w:rsidRDefault="0038644B">
            <w:pPr>
              <w:rPr>
                <w:sz w:val="20"/>
                <w:szCs w:val="20"/>
              </w:rPr>
            </w:pPr>
            <w:r>
              <w:rPr>
                <w:sz w:val="20"/>
                <w:szCs w:val="20"/>
              </w:rPr>
              <w:t>Netinka nė vienas iš nurodytų variantų</w:t>
            </w:r>
          </w:p>
        </w:tc>
        <w:tc>
          <w:tcPr>
            <w:tcW w:w="461" w:type="pct"/>
            <w:shd w:val="clear" w:color="auto" w:fill="auto"/>
          </w:tcPr>
          <w:p w14:paraId="570732EA" w14:textId="77777777" w:rsidR="006D5D4C" w:rsidRDefault="006D5D4C">
            <w:pPr>
              <w:tabs>
                <w:tab w:val="left" w:pos="720"/>
                <w:tab w:val="center" w:pos="4513"/>
                <w:tab w:val="right" w:pos="9026"/>
              </w:tabs>
              <w:rPr>
                <w:rFonts w:ascii="Calibri" w:eastAsia="Calibri" w:hAnsi="Calibri" w:cs="Times New Roman"/>
                <w:sz w:val="20"/>
                <w:szCs w:val="20"/>
              </w:rPr>
            </w:pPr>
          </w:p>
        </w:tc>
      </w:tr>
    </w:tbl>
    <w:p w14:paraId="0B99923B" w14:textId="23A12FC6" w:rsidR="006D5D4C" w:rsidRDefault="006D5D4C"/>
    <w:p w14:paraId="79B27B05" w14:textId="760EF3A5" w:rsidR="006D5D4C" w:rsidRDefault="001A2072">
      <w:pPr>
        <w:rPr>
          <w:b/>
        </w:rPr>
      </w:pPr>
      <w:r>
        <w:rPr>
          <w:b/>
        </w:rPr>
        <w:t>Susiję teisės aktai</w:t>
      </w:r>
    </w:p>
    <w:p w14:paraId="1A3F23D0" w14:textId="6D3DA62D" w:rsidR="006D5D4C" w:rsidRDefault="0055110D">
      <w:pPr>
        <w:pStyle w:val="ListParagraph"/>
        <w:numPr>
          <w:ilvl w:val="0"/>
          <w:numId w:val="36"/>
        </w:numPr>
      </w:pPr>
      <w:r>
        <w:t>Kuris iš šių teiginių taikomas kiekvienam iš išvardytų teisės aktų?</w:t>
      </w:r>
      <w:r>
        <w:cr/>
      </w:r>
      <w:r>
        <w:br/>
      </w:r>
    </w:p>
    <w:p w14:paraId="78F071E0" w14:textId="77777777" w:rsidR="006D5D4C" w:rsidRDefault="006D5D4C">
      <w:pPr>
        <w:pStyle w:val="ListParagraph"/>
        <w:ind w:left="340"/>
      </w:pPr>
    </w:p>
    <w:tbl>
      <w:tblPr>
        <w:tblStyle w:val="TableGrid"/>
        <w:tblW w:w="0" w:type="auto"/>
        <w:tblLook w:val="04A0" w:firstRow="1" w:lastRow="0" w:firstColumn="1" w:lastColumn="0" w:noHBand="0" w:noVBand="1"/>
      </w:tblPr>
      <w:tblGrid>
        <w:gridCol w:w="2547"/>
        <w:gridCol w:w="1512"/>
        <w:gridCol w:w="1584"/>
        <w:gridCol w:w="1567"/>
        <w:gridCol w:w="1510"/>
      </w:tblGrid>
      <w:tr w:rsidR="006D5D4C" w14:paraId="480785A1" w14:textId="77777777" w:rsidTr="00787ACA">
        <w:tc>
          <w:tcPr>
            <w:tcW w:w="0" w:type="auto"/>
          </w:tcPr>
          <w:p w14:paraId="6FF90E4D" w14:textId="77777777" w:rsidR="006D5D4C" w:rsidRDefault="00787ACA">
            <w:pPr>
              <w:rPr>
                <w:b/>
              </w:rPr>
            </w:pPr>
            <w:r>
              <w:rPr>
                <w:b/>
              </w:rPr>
              <w:t>Teisės aktai</w:t>
            </w:r>
          </w:p>
        </w:tc>
        <w:tc>
          <w:tcPr>
            <w:tcW w:w="0" w:type="auto"/>
          </w:tcPr>
          <w:p w14:paraId="40A68A72" w14:textId="0927BFFE" w:rsidR="006D5D4C" w:rsidRDefault="008416F7">
            <w:r>
              <w:t>Daro poveikį mano verslui ir esu gerai susipažinęs su turiniu</w:t>
            </w:r>
            <w:r>
              <w:cr/>
            </w:r>
            <w:r>
              <w:br/>
            </w:r>
          </w:p>
        </w:tc>
        <w:tc>
          <w:tcPr>
            <w:tcW w:w="0" w:type="auto"/>
          </w:tcPr>
          <w:p w14:paraId="501A1599" w14:textId="54FD2806" w:rsidR="006D5D4C" w:rsidRDefault="0055110D">
            <w:r>
              <w:t>Daro poveikį mano verslui, tačiau nesu labai gerai susipažinęs su turiniu</w:t>
            </w:r>
            <w:r>
              <w:cr/>
            </w:r>
            <w:r>
              <w:br/>
            </w:r>
          </w:p>
        </w:tc>
        <w:tc>
          <w:tcPr>
            <w:tcW w:w="0" w:type="auto"/>
          </w:tcPr>
          <w:p w14:paraId="13BB74CA" w14:textId="0CF03EF4" w:rsidR="006D5D4C" w:rsidRDefault="008416F7">
            <w:r>
              <w:lastRenderedPageBreak/>
              <w:t>Nedaro poveikio mano verslui, tačiau esu gerai susipažinęs su turiniu</w:t>
            </w:r>
            <w:r>
              <w:cr/>
            </w:r>
            <w:r>
              <w:br/>
            </w:r>
          </w:p>
        </w:tc>
        <w:tc>
          <w:tcPr>
            <w:tcW w:w="0" w:type="auto"/>
          </w:tcPr>
          <w:p w14:paraId="197C1392" w14:textId="14927148" w:rsidR="006D5D4C" w:rsidRDefault="008416F7">
            <w:r>
              <w:lastRenderedPageBreak/>
              <w:t>Nedaro poveikio mano verslui ir nesu susipažinęs su turiniu</w:t>
            </w:r>
          </w:p>
        </w:tc>
      </w:tr>
      <w:tr w:rsidR="006D5D4C" w14:paraId="0C6EACFE" w14:textId="77777777" w:rsidTr="00787ACA">
        <w:tc>
          <w:tcPr>
            <w:tcW w:w="0" w:type="auto"/>
          </w:tcPr>
          <w:p w14:paraId="639E572A" w14:textId="77777777" w:rsidR="006D5D4C" w:rsidRDefault="00787ACA">
            <w:r>
              <w:t>Augalų apsaugos produktų reglamentas (EB) 1107/2009</w:t>
            </w:r>
          </w:p>
        </w:tc>
        <w:tc>
          <w:tcPr>
            <w:tcW w:w="0" w:type="auto"/>
          </w:tcPr>
          <w:p w14:paraId="4C82D2C1" w14:textId="77777777" w:rsidR="006D5D4C" w:rsidRDefault="006D5D4C"/>
        </w:tc>
        <w:tc>
          <w:tcPr>
            <w:tcW w:w="0" w:type="auto"/>
          </w:tcPr>
          <w:p w14:paraId="51DC108D" w14:textId="77777777" w:rsidR="006D5D4C" w:rsidRDefault="006D5D4C"/>
        </w:tc>
        <w:tc>
          <w:tcPr>
            <w:tcW w:w="0" w:type="auto"/>
          </w:tcPr>
          <w:p w14:paraId="0273D448" w14:textId="77777777" w:rsidR="006D5D4C" w:rsidRDefault="006D5D4C"/>
        </w:tc>
        <w:tc>
          <w:tcPr>
            <w:tcW w:w="0" w:type="auto"/>
          </w:tcPr>
          <w:p w14:paraId="30A38694" w14:textId="77777777" w:rsidR="006D5D4C" w:rsidRDefault="006D5D4C"/>
        </w:tc>
      </w:tr>
      <w:tr w:rsidR="006D5D4C" w14:paraId="2B255322" w14:textId="77777777" w:rsidTr="00787ACA">
        <w:tc>
          <w:tcPr>
            <w:tcW w:w="0" w:type="auto"/>
          </w:tcPr>
          <w:p w14:paraId="6946A439" w14:textId="77777777" w:rsidR="006D5D4C" w:rsidRDefault="00787ACA">
            <w:r>
              <w:t>Pesticidų liekanų reglamentas (396/2005/EB)</w:t>
            </w:r>
          </w:p>
        </w:tc>
        <w:tc>
          <w:tcPr>
            <w:tcW w:w="0" w:type="auto"/>
          </w:tcPr>
          <w:p w14:paraId="56171312" w14:textId="77777777" w:rsidR="006D5D4C" w:rsidRDefault="006D5D4C"/>
        </w:tc>
        <w:tc>
          <w:tcPr>
            <w:tcW w:w="0" w:type="auto"/>
          </w:tcPr>
          <w:p w14:paraId="4E43849C" w14:textId="77777777" w:rsidR="006D5D4C" w:rsidRDefault="006D5D4C"/>
        </w:tc>
        <w:tc>
          <w:tcPr>
            <w:tcW w:w="0" w:type="auto"/>
          </w:tcPr>
          <w:p w14:paraId="0F43442B" w14:textId="77777777" w:rsidR="006D5D4C" w:rsidRDefault="006D5D4C"/>
        </w:tc>
        <w:tc>
          <w:tcPr>
            <w:tcW w:w="0" w:type="auto"/>
          </w:tcPr>
          <w:p w14:paraId="229AE3E3" w14:textId="77777777" w:rsidR="006D5D4C" w:rsidRDefault="006D5D4C"/>
        </w:tc>
      </w:tr>
      <w:tr w:rsidR="006D5D4C" w14:paraId="2E3D4225" w14:textId="77777777" w:rsidTr="00787ACA">
        <w:tc>
          <w:tcPr>
            <w:tcW w:w="0" w:type="auto"/>
          </w:tcPr>
          <w:p w14:paraId="51F306C2" w14:textId="77777777" w:rsidR="006D5D4C" w:rsidRDefault="00787ACA">
            <w:r>
              <w:t>Biocidinių produktų reglamentas (528/2012/ES)</w:t>
            </w:r>
          </w:p>
        </w:tc>
        <w:tc>
          <w:tcPr>
            <w:tcW w:w="0" w:type="auto"/>
          </w:tcPr>
          <w:p w14:paraId="73571E49" w14:textId="77777777" w:rsidR="006D5D4C" w:rsidRDefault="006D5D4C"/>
        </w:tc>
        <w:tc>
          <w:tcPr>
            <w:tcW w:w="0" w:type="auto"/>
          </w:tcPr>
          <w:p w14:paraId="7031C03E" w14:textId="77777777" w:rsidR="006D5D4C" w:rsidRDefault="006D5D4C"/>
        </w:tc>
        <w:tc>
          <w:tcPr>
            <w:tcW w:w="0" w:type="auto"/>
          </w:tcPr>
          <w:p w14:paraId="3FA8EFC0" w14:textId="77777777" w:rsidR="006D5D4C" w:rsidRDefault="006D5D4C"/>
        </w:tc>
        <w:tc>
          <w:tcPr>
            <w:tcW w:w="0" w:type="auto"/>
          </w:tcPr>
          <w:p w14:paraId="4F0281E0" w14:textId="77777777" w:rsidR="006D5D4C" w:rsidRDefault="006D5D4C"/>
        </w:tc>
      </w:tr>
      <w:tr w:rsidR="006D5D4C" w14:paraId="0E71E89D" w14:textId="77777777" w:rsidTr="00787ACA">
        <w:tc>
          <w:tcPr>
            <w:tcW w:w="0" w:type="auto"/>
          </w:tcPr>
          <w:p w14:paraId="3C16AC59" w14:textId="77777777" w:rsidR="006D5D4C" w:rsidRDefault="00787ACA">
            <w:r>
              <w:t>REACH reglamentas (EB) Nr. 1907/2006</w:t>
            </w:r>
          </w:p>
        </w:tc>
        <w:tc>
          <w:tcPr>
            <w:tcW w:w="0" w:type="auto"/>
          </w:tcPr>
          <w:p w14:paraId="4CDEB8C2" w14:textId="77777777" w:rsidR="006D5D4C" w:rsidRDefault="006D5D4C"/>
        </w:tc>
        <w:tc>
          <w:tcPr>
            <w:tcW w:w="0" w:type="auto"/>
          </w:tcPr>
          <w:p w14:paraId="1762CFEF" w14:textId="77777777" w:rsidR="006D5D4C" w:rsidRDefault="006D5D4C"/>
        </w:tc>
        <w:tc>
          <w:tcPr>
            <w:tcW w:w="0" w:type="auto"/>
          </w:tcPr>
          <w:p w14:paraId="44CFB50D" w14:textId="77777777" w:rsidR="006D5D4C" w:rsidRDefault="006D5D4C"/>
        </w:tc>
        <w:tc>
          <w:tcPr>
            <w:tcW w:w="0" w:type="auto"/>
          </w:tcPr>
          <w:p w14:paraId="6F619A86" w14:textId="77777777" w:rsidR="006D5D4C" w:rsidRDefault="006D5D4C"/>
        </w:tc>
      </w:tr>
      <w:tr w:rsidR="006D5D4C" w14:paraId="719E58D2" w14:textId="77777777" w:rsidTr="00787ACA">
        <w:tc>
          <w:tcPr>
            <w:tcW w:w="0" w:type="auto"/>
          </w:tcPr>
          <w:p w14:paraId="42F59219" w14:textId="77777777" w:rsidR="006D5D4C" w:rsidRDefault="00787ACA">
            <w:r>
              <w:t>KŽP – cheminių medžiagų ir mišinių klasifikavimo, ženklinimo ir pakavimo – reglamentas (EB) Nr. 1272/2008</w:t>
            </w:r>
          </w:p>
        </w:tc>
        <w:tc>
          <w:tcPr>
            <w:tcW w:w="0" w:type="auto"/>
          </w:tcPr>
          <w:p w14:paraId="61F2925C" w14:textId="77777777" w:rsidR="006D5D4C" w:rsidRDefault="006D5D4C"/>
        </w:tc>
        <w:tc>
          <w:tcPr>
            <w:tcW w:w="0" w:type="auto"/>
          </w:tcPr>
          <w:p w14:paraId="31E5C5FD" w14:textId="77777777" w:rsidR="006D5D4C" w:rsidRDefault="006D5D4C"/>
        </w:tc>
        <w:tc>
          <w:tcPr>
            <w:tcW w:w="0" w:type="auto"/>
          </w:tcPr>
          <w:p w14:paraId="56E94A55" w14:textId="77777777" w:rsidR="006D5D4C" w:rsidRDefault="006D5D4C"/>
        </w:tc>
        <w:tc>
          <w:tcPr>
            <w:tcW w:w="0" w:type="auto"/>
          </w:tcPr>
          <w:p w14:paraId="4ED58D66" w14:textId="77777777" w:rsidR="006D5D4C" w:rsidRDefault="006D5D4C"/>
        </w:tc>
      </w:tr>
      <w:tr w:rsidR="006D5D4C" w14:paraId="793B22A4" w14:textId="77777777" w:rsidTr="00787ACA">
        <w:tc>
          <w:tcPr>
            <w:tcW w:w="0" w:type="auto"/>
          </w:tcPr>
          <w:p w14:paraId="62C2572A" w14:textId="22D40ED1" w:rsidR="006D5D4C" w:rsidRDefault="00787ACA">
            <w:r>
              <w:t>Patvariųjų organinių teršalų reglamentas (850/2004/EB ir (ES) 2019/1021)</w:t>
            </w:r>
            <w:r>
              <w:cr/>
            </w:r>
            <w:r>
              <w:br/>
            </w:r>
          </w:p>
        </w:tc>
        <w:tc>
          <w:tcPr>
            <w:tcW w:w="0" w:type="auto"/>
          </w:tcPr>
          <w:p w14:paraId="5496CF3B" w14:textId="77777777" w:rsidR="006D5D4C" w:rsidRDefault="006D5D4C"/>
        </w:tc>
        <w:tc>
          <w:tcPr>
            <w:tcW w:w="0" w:type="auto"/>
          </w:tcPr>
          <w:p w14:paraId="3898F6A1" w14:textId="77777777" w:rsidR="006D5D4C" w:rsidRDefault="006D5D4C"/>
        </w:tc>
        <w:tc>
          <w:tcPr>
            <w:tcW w:w="0" w:type="auto"/>
          </w:tcPr>
          <w:p w14:paraId="5F3A636A" w14:textId="77777777" w:rsidR="006D5D4C" w:rsidRDefault="006D5D4C"/>
        </w:tc>
        <w:tc>
          <w:tcPr>
            <w:tcW w:w="0" w:type="auto"/>
          </w:tcPr>
          <w:p w14:paraId="5E04CD0C" w14:textId="77777777" w:rsidR="006D5D4C" w:rsidRDefault="006D5D4C"/>
        </w:tc>
      </w:tr>
      <w:tr w:rsidR="006D5D4C" w14:paraId="06785B8A" w14:textId="77777777" w:rsidTr="00787ACA">
        <w:tc>
          <w:tcPr>
            <w:tcW w:w="0" w:type="auto"/>
          </w:tcPr>
          <w:p w14:paraId="6CACF33F" w14:textId="77777777" w:rsidR="006D5D4C" w:rsidRDefault="00787ACA">
            <w:r>
              <w:t>Su maistu besiliečiančias medžiagas reglamentuojantys teisės aktai – Reglamentas (EB) Nr. 1935/2004</w:t>
            </w:r>
            <w:r>
              <w:cr/>
            </w:r>
            <w:r>
              <w:br/>
              <w:t xml:space="preserve"> </w:t>
            </w:r>
          </w:p>
        </w:tc>
        <w:tc>
          <w:tcPr>
            <w:tcW w:w="0" w:type="auto"/>
          </w:tcPr>
          <w:p w14:paraId="41FCB9E3" w14:textId="77777777" w:rsidR="006D5D4C" w:rsidRDefault="006D5D4C"/>
        </w:tc>
        <w:tc>
          <w:tcPr>
            <w:tcW w:w="0" w:type="auto"/>
          </w:tcPr>
          <w:p w14:paraId="17741900" w14:textId="77777777" w:rsidR="006D5D4C" w:rsidRDefault="006D5D4C"/>
        </w:tc>
        <w:tc>
          <w:tcPr>
            <w:tcW w:w="0" w:type="auto"/>
          </w:tcPr>
          <w:p w14:paraId="5BEFDF2D" w14:textId="77777777" w:rsidR="006D5D4C" w:rsidRDefault="006D5D4C"/>
        </w:tc>
        <w:tc>
          <w:tcPr>
            <w:tcW w:w="0" w:type="auto"/>
          </w:tcPr>
          <w:p w14:paraId="1C51BACF" w14:textId="77777777" w:rsidR="006D5D4C" w:rsidRDefault="006D5D4C"/>
        </w:tc>
      </w:tr>
      <w:tr w:rsidR="006D5D4C" w14:paraId="5F5CC5E4" w14:textId="77777777" w:rsidTr="00787ACA">
        <w:tc>
          <w:tcPr>
            <w:tcW w:w="0" w:type="auto"/>
          </w:tcPr>
          <w:p w14:paraId="525C636C" w14:textId="77777777" w:rsidR="006D5D4C" w:rsidRDefault="00787ACA">
            <w:r>
              <w:t>Maisto ir pašarų teršalų reglamentas (315/93/EEB) ir Direktyva (2002/32/EB)</w:t>
            </w:r>
            <w:r>
              <w:cr/>
            </w:r>
            <w:r>
              <w:br/>
            </w:r>
          </w:p>
        </w:tc>
        <w:tc>
          <w:tcPr>
            <w:tcW w:w="0" w:type="auto"/>
          </w:tcPr>
          <w:p w14:paraId="3D5EF91B" w14:textId="77777777" w:rsidR="006D5D4C" w:rsidRDefault="006D5D4C"/>
        </w:tc>
        <w:tc>
          <w:tcPr>
            <w:tcW w:w="0" w:type="auto"/>
          </w:tcPr>
          <w:p w14:paraId="7F875699" w14:textId="77777777" w:rsidR="006D5D4C" w:rsidRDefault="006D5D4C"/>
        </w:tc>
        <w:tc>
          <w:tcPr>
            <w:tcW w:w="0" w:type="auto"/>
          </w:tcPr>
          <w:p w14:paraId="06122AF7" w14:textId="77777777" w:rsidR="006D5D4C" w:rsidRDefault="006D5D4C"/>
        </w:tc>
        <w:tc>
          <w:tcPr>
            <w:tcW w:w="0" w:type="auto"/>
          </w:tcPr>
          <w:p w14:paraId="0206F11E" w14:textId="77777777" w:rsidR="006D5D4C" w:rsidRDefault="006D5D4C"/>
        </w:tc>
      </w:tr>
      <w:tr w:rsidR="006D5D4C" w14:paraId="0B2F4C58" w14:textId="77777777" w:rsidTr="00787ACA">
        <w:tc>
          <w:tcPr>
            <w:tcW w:w="0" w:type="auto"/>
          </w:tcPr>
          <w:p w14:paraId="0520AC4D" w14:textId="77777777" w:rsidR="006D5D4C" w:rsidRDefault="00787ACA">
            <w:r>
              <w:t>Maisto priedų reglamentas (1333/2008/EB)</w:t>
            </w:r>
            <w:r>
              <w:cr/>
            </w:r>
            <w:r>
              <w:br/>
              <w:t xml:space="preserve"> </w:t>
            </w:r>
          </w:p>
        </w:tc>
        <w:tc>
          <w:tcPr>
            <w:tcW w:w="0" w:type="auto"/>
          </w:tcPr>
          <w:p w14:paraId="517EC2BD" w14:textId="77777777" w:rsidR="006D5D4C" w:rsidRDefault="006D5D4C"/>
        </w:tc>
        <w:tc>
          <w:tcPr>
            <w:tcW w:w="0" w:type="auto"/>
          </w:tcPr>
          <w:p w14:paraId="0701B26B" w14:textId="77777777" w:rsidR="006D5D4C" w:rsidRDefault="006D5D4C"/>
        </w:tc>
        <w:tc>
          <w:tcPr>
            <w:tcW w:w="0" w:type="auto"/>
          </w:tcPr>
          <w:p w14:paraId="6726599B" w14:textId="77777777" w:rsidR="006D5D4C" w:rsidRDefault="006D5D4C"/>
        </w:tc>
        <w:tc>
          <w:tcPr>
            <w:tcW w:w="0" w:type="auto"/>
          </w:tcPr>
          <w:p w14:paraId="45488BFD" w14:textId="77777777" w:rsidR="006D5D4C" w:rsidRDefault="006D5D4C"/>
        </w:tc>
      </w:tr>
      <w:tr w:rsidR="006D5D4C" w14:paraId="61CCA0C4" w14:textId="77777777" w:rsidTr="00787ACA">
        <w:tc>
          <w:tcPr>
            <w:tcW w:w="0" w:type="auto"/>
          </w:tcPr>
          <w:p w14:paraId="309080DF" w14:textId="77777777" w:rsidR="006D5D4C" w:rsidRDefault="00787ACA">
            <w:r>
              <w:t>Kosmetikos gaminių reglamentas (EB) Nr. 1223/2009</w:t>
            </w:r>
          </w:p>
        </w:tc>
        <w:tc>
          <w:tcPr>
            <w:tcW w:w="0" w:type="auto"/>
          </w:tcPr>
          <w:p w14:paraId="32ACA7A1" w14:textId="77777777" w:rsidR="006D5D4C" w:rsidRDefault="006D5D4C"/>
        </w:tc>
        <w:tc>
          <w:tcPr>
            <w:tcW w:w="0" w:type="auto"/>
          </w:tcPr>
          <w:p w14:paraId="24A7A34E" w14:textId="77777777" w:rsidR="006D5D4C" w:rsidRDefault="006D5D4C"/>
        </w:tc>
        <w:tc>
          <w:tcPr>
            <w:tcW w:w="0" w:type="auto"/>
          </w:tcPr>
          <w:p w14:paraId="4E30BCAE" w14:textId="77777777" w:rsidR="006D5D4C" w:rsidRDefault="006D5D4C"/>
        </w:tc>
        <w:tc>
          <w:tcPr>
            <w:tcW w:w="0" w:type="auto"/>
          </w:tcPr>
          <w:p w14:paraId="3EC334C8" w14:textId="77777777" w:rsidR="006D5D4C" w:rsidRDefault="006D5D4C"/>
        </w:tc>
      </w:tr>
      <w:tr w:rsidR="006D5D4C" w14:paraId="5048C42E" w14:textId="77777777" w:rsidTr="00787ACA">
        <w:tc>
          <w:tcPr>
            <w:tcW w:w="0" w:type="auto"/>
          </w:tcPr>
          <w:p w14:paraId="02405D51" w14:textId="2605CECD" w:rsidR="006D5D4C" w:rsidRDefault="00787ACA" w:rsidP="001B4AFA">
            <w:r>
              <w:t>Reglamentas (ES) 2017/745 dėl medicinos priemonių</w:t>
            </w:r>
          </w:p>
        </w:tc>
        <w:tc>
          <w:tcPr>
            <w:tcW w:w="0" w:type="auto"/>
          </w:tcPr>
          <w:p w14:paraId="7A48A54B" w14:textId="77777777" w:rsidR="006D5D4C" w:rsidRDefault="006D5D4C"/>
        </w:tc>
        <w:tc>
          <w:tcPr>
            <w:tcW w:w="0" w:type="auto"/>
          </w:tcPr>
          <w:p w14:paraId="4FFA2948" w14:textId="77777777" w:rsidR="006D5D4C" w:rsidRDefault="006D5D4C"/>
        </w:tc>
        <w:tc>
          <w:tcPr>
            <w:tcW w:w="0" w:type="auto"/>
          </w:tcPr>
          <w:p w14:paraId="4B0E8373" w14:textId="77777777" w:rsidR="006D5D4C" w:rsidRDefault="006D5D4C"/>
        </w:tc>
        <w:tc>
          <w:tcPr>
            <w:tcW w:w="0" w:type="auto"/>
          </w:tcPr>
          <w:p w14:paraId="06D5B9E2" w14:textId="77777777" w:rsidR="006D5D4C" w:rsidRDefault="006D5D4C"/>
        </w:tc>
      </w:tr>
      <w:tr w:rsidR="006D5D4C" w14:paraId="5C9587A0" w14:textId="77777777" w:rsidTr="00787ACA">
        <w:tc>
          <w:tcPr>
            <w:tcW w:w="0" w:type="auto"/>
          </w:tcPr>
          <w:p w14:paraId="129AF194" w14:textId="3DEC6661" w:rsidR="006D5D4C" w:rsidRDefault="00787ACA" w:rsidP="001B4AFA">
            <w:r>
              <w:t xml:space="preserve">Reglamentas (ES) 2017/746 dėl </w:t>
            </w:r>
            <w:r>
              <w:rPr>
                <w:i/>
              </w:rPr>
              <w:t>in vitro</w:t>
            </w:r>
            <w:r>
              <w:t xml:space="preserve"> diagnostikos medicinos priemonių</w:t>
            </w:r>
          </w:p>
        </w:tc>
        <w:tc>
          <w:tcPr>
            <w:tcW w:w="0" w:type="auto"/>
          </w:tcPr>
          <w:p w14:paraId="5D327E93" w14:textId="77777777" w:rsidR="006D5D4C" w:rsidRDefault="006D5D4C"/>
        </w:tc>
        <w:tc>
          <w:tcPr>
            <w:tcW w:w="0" w:type="auto"/>
          </w:tcPr>
          <w:p w14:paraId="752EB600" w14:textId="77777777" w:rsidR="006D5D4C" w:rsidRDefault="006D5D4C"/>
        </w:tc>
        <w:tc>
          <w:tcPr>
            <w:tcW w:w="0" w:type="auto"/>
          </w:tcPr>
          <w:p w14:paraId="1C090DB8" w14:textId="77777777" w:rsidR="006D5D4C" w:rsidRDefault="006D5D4C"/>
        </w:tc>
        <w:tc>
          <w:tcPr>
            <w:tcW w:w="0" w:type="auto"/>
          </w:tcPr>
          <w:p w14:paraId="22601F17" w14:textId="77777777" w:rsidR="006D5D4C" w:rsidRDefault="006D5D4C"/>
        </w:tc>
      </w:tr>
      <w:tr w:rsidR="006D5D4C" w14:paraId="6890D49A" w14:textId="77777777" w:rsidTr="00787ACA">
        <w:tc>
          <w:tcPr>
            <w:tcW w:w="0" w:type="auto"/>
          </w:tcPr>
          <w:p w14:paraId="6F80EFE5" w14:textId="77777777" w:rsidR="006D5D4C" w:rsidRDefault="00787ACA">
            <w:r>
              <w:t>Žaislų saugos direktyva 2009/48/EB</w:t>
            </w:r>
          </w:p>
        </w:tc>
        <w:tc>
          <w:tcPr>
            <w:tcW w:w="0" w:type="auto"/>
          </w:tcPr>
          <w:p w14:paraId="40801E2D" w14:textId="77777777" w:rsidR="006D5D4C" w:rsidRDefault="006D5D4C"/>
        </w:tc>
        <w:tc>
          <w:tcPr>
            <w:tcW w:w="0" w:type="auto"/>
          </w:tcPr>
          <w:p w14:paraId="0E12731A" w14:textId="77777777" w:rsidR="006D5D4C" w:rsidRDefault="006D5D4C"/>
        </w:tc>
        <w:tc>
          <w:tcPr>
            <w:tcW w:w="0" w:type="auto"/>
          </w:tcPr>
          <w:p w14:paraId="74D65C3F" w14:textId="77777777" w:rsidR="006D5D4C" w:rsidRDefault="006D5D4C"/>
        </w:tc>
        <w:tc>
          <w:tcPr>
            <w:tcW w:w="0" w:type="auto"/>
          </w:tcPr>
          <w:p w14:paraId="5E9DD8BE" w14:textId="77777777" w:rsidR="006D5D4C" w:rsidRDefault="006D5D4C"/>
        </w:tc>
      </w:tr>
      <w:tr w:rsidR="006D5D4C" w14:paraId="09DCC820" w14:textId="77777777" w:rsidTr="00787ACA">
        <w:tc>
          <w:tcPr>
            <w:tcW w:w="0" w:type="auto"/>
          </w:tcPr>
          <w:p w14:paraId="17390126" w14:textId="268908EF" w:rsidR="006D5D4C" w:rsidRDefault="00787ACA">
            <w:r>
              <w:t xml:space="preserve">Trąšos (Reglamentas (EB) Nr. 2003/2003 ir </w:t>
            </w:r>
            <w:r>
              <w:lastRenderedPageBreak/>
              <w:t>Reglamentas (ES) 2019/1009)</w:t>
            </w:r>
          </w:p>
        </w:tc>
        <w:tc>
          <w:tcPr>
            <w:tcW w:w="0" w:type="auto"/>
          </w:tcPr>
          <w:p w14:paraId="00EDC32F" w14:textId="77777777" w:rsidR="006D5D4C" w:rsidRDefault="006D5D4C"/>
        </w:tc>
        <w:tc>
          <w:tcPr>
            <w:tcW w:w="0" w:type="auto"/>
          </w:tcPr>
          <w:p w14:paraId="3C659447" w14:textId="77777777" w:rsidR="006D5D4C" w:rsidRDefault="006D5D4C"/>
        </w:tc>
        <w:tc>
          <w:tcPr>
            <w:tcW w:w="0" w:type="auto"/>
          </w:tcPr>
          <w:p w14:paraId="1FF63619" w14:textId="77777777" w:rsidR="006D5D4C" w:rsidRDefault="006D5D4C"/>
        </w:tc>
        <w:tc>
          <w:tcPr>
            <w:tcW w:w="0" w:type="auto"/>
          </w:tcPr>
          <w:p w14:paraId="438614E7" w14:textId="77777777" w:rsidR="006D5D4C" w:rsidRDefault="006D5D4C"/>
        </w:tc>
      </w:tr>
      <w:tr w:rsidR="006D5D4C" w14:paraId="67FAC1D7" w14:textId="77777777" w:rsidTr="00787ACA">
        <w:tc>
          <w:tcPr>
            <w:tcW w:w="0" w:type="auto"/>
          </w:tcPr>
          <w:p w14:paraId="75F61DCF" w14:textId="77777777" w:rsidR="006D5D4C" w:rsidRDefault="00787ACA">
            <w:r>
              <w:t>Ploviklių reglamentas (648/2004/EB)</w:t>
            </w:r>
          </w:p>
        </w:tc>
        <w:tc>
          <w:tcPr>
            <w:tcW w:w="0" w:type="auto"/>
          </w:tcPr>
          <w:p w14:paraId="7DE27226" w14:textId="77777777" w:rsidR="006D5D4C" w:rsidRDefault="006D5D4C"/>
        </w:tc>
        <w:tc>
          <w:tcPr>
            <w:tcW w:w="0" w:type="auto"/>
          </w:tcPr>
          <w:p w14:paraId="734227FE" w14:textId="77777777" w:rsidR="006D5D4C" w:rsidRDefault="006D5D4C"/>
        </w:tc>
        <w:tc>
          <w:tcPr>
            <w:tcW w:w="0" w:type="auto"/>
          </w:tcPr>
          <w:p w14:paraId="4C0535C8" w14:textId="77777777" w:rsidR="006D5D4C" w:rsidRDefault="006D5D4C"/>
        </w:tc>
        <w:tc>
          <w:tcPr>
            <w:tcW w:w="0" w:type="auto"/>
          </w:tcPr>
          <w:p w14:paraId="7EED12E4" w14:textId="77777777" w:rsidR="006D5D4C" w:rsidRDefault="006D5D4C"/>
        </w:tc>
      </w:tr>
      <w:tr w:rsidR="006D5D4C" w14:paraId="297C8025" w14:textId="77777777" w:rsidTr="00787ACA">
        <w:tc>
          <w:tcPr>
            <w:tcW w:w="0" w:type="auto"/>
          </w:tcPr>
          <w:p w14:paraId="19EB4F9E" w14:textId="2C65F58E" w:rsidR="006D5D4C" w:rsidRDefault="00787ACA">
            <w:r>
              <w:t>Žmonėms skirti vaistai (Direktyva 2001/83/EB)</w:t>
            </w:r>
          </w:p>
        </w:tc>
        <w:tc>
          <w:tcPr>
            <w:tcW w:w="0" w:type="auto"/>
          </w:tcPr>
          <w:p w14:paraId="735A1332" w14:textId="77777777" w:rsidR="006D5D4C" w:rsidRDefault="006D5D4C"/>
        </w:tc>
        <w:tc>
          <w:tcPr>
            <w:tcW w:w="0" w:type="auto"/>
          </w:tcPr>
          <w:p w14:paraId="619F6B36" w14:textId="77777777" w:rsidR="006D5D4C" w:rsidRDefault="006D5D4C"/>
        </w:tc>
        <w:tc>
          <w:tcPr>
            <w:tcW w:w="0" w:type="auto"/>
          </w:tcPr>
          <w:p w14:paraId="3BE0CECF" w14:textId="77777777" w:rsidR="006D5D4C" w:rsidRDefault="006D5D4C"/>
        </w:tc>
        <w:tc>
          <w:tcPr>
            <w:tcW w:w="0" w:type="auto"/>
          </w:tcPr>
          <w:p w14:paraId="3A6AAD06" w14:textId="77777777" w:rsidR="006D5D4C" w:rsidRDefault="006D5D4C"/>
        </w:tc>
      </w:tr>
      <w:tr w:rsidR="006D5D4C" w14:paraId="5201D674" w14:textId="77777777" w:rsidTr="00787ACA">
        <w:tc>
          <w:tcPr>
            <w:tcW w:w="0" w:type="auto"/>
          </w:tcPr>
          <w:p w14:paraId="284CD16D" w14:textId="1342B7F4" w:rsidR="006D5D4C" w:rsidRDefault="00787ACA">
            <w:r>
              <w:t>Veterinarinių vaistų reglamentas (ES) 2019/6</w:t>
            </w:r>
          </w:p>
        </w:tc>
        <w:tc>
          <w:tcPr>
            <w:tcW w:w="0" w:type="auto"/>
          </w:tcPr>
          <w:p w14:paraId="260B0F1A" w14:textId="77777777" w:rsidR="006D5D4C" w:rsidRDefault="006D5D4C"/>
        </w:tc>
        <w:tc>
          <w:tcPr>
            <w:tcW w:w="0" w:type="auto"/>
          </w:tcPr>
          <w:p w14:paraId="114F1D62" w14:textId="77777777" w:rsidR="006D5D4C" w:rsidRDefault="006D5D4C"/>
        </w:tc>
        <w:tc>
          <w:tcPr>
            <w:tcW w:w="0" w:type="auto"/>
          </w:tcPr>
          <w:p w14:paraId="2326F046" w14:textId="77777777" w:rsidR="006D5D4C" w:rsidRDefault="006D5D4C"/>
        </w:tc>
        <w:tc>
          <w:tcPr>
            <w:tcW w:w="0" w:type="auto"/>
          </w:tcPr>
          <w:p w14:paraId="27DC85B2" w14:textId="77777777" w:rsidR="006D5D4C" w:rsidRDefault="006D5D4C"/>
        </w:tc>
      </w:tr>
      <w:tr w:rsidR="006D5D4C" w14:paraId="33FC61AF" w14:textId="77777777" w:rsidTr="00787ACA">
        <w:tc>
          <w:tcPr>
            <w:tcW w:w="0" w:type="auto"/>
          </w:tcPr>
          <w:p w14:paraId="2B8D0359" w14:textId="77777777" w:rsidR="006D5D4C" w:rsidRDefault="00787ACA">
            <w:r>
              <w:t xml:space="preserve">Bendros gaminių saugos direktyva (2001/95/EB) </w:t>
            </w:r>
          </w:p>
        </w:tc>
        <w:tc>
          <w:tcPr>
            <w:tcW w:w="0" w:type="auto"/>
          </w:tcPr>
          <w:p w14:paraId="5BC633B0" w14:textId="77777777" w:rsidR="006D5D4C" w:rsidRDefault="006D5D4C"/>
        </w:tc>
        <w:tc>
          <w:tcPr>
            <w:tcW w:w="0" w:type="auto"/>
          </w:tcPr>
          <w:p w14:paraId="5DB9D648" w14:textId="77777777" w:rsidR="006D5D4C" w:rsidRDefault="006D5D4C"/>
        </w:tc>
        <w:tc>
          <w:tcPr>
            <w:tcW w:w="0" w:type="auto"/>
          </w:tcPr>
          <w:p w14:paraId="3D5E5ED9" w14:textId="77777777" w:rsidR="006D5D4C" w:rsidRDefault="006D5D4C"/>
        </w:tc>
        <w:tc>
          <w:tcPr>
            <w:tcW w:w="0" w:type="auto"/>
          </w:tcPr>
          <w:p w14:paraId="68698ABD" w14:textId="77777777" w:rsidR="006D5D4C" w:rsidRDefault="006D5D4C"/>
        </w:tc>
      </w:tr>
      <w:tr w:rsidR="006D5D4C" w14:paraId="1FCB2A7E" w14:textId="77777777" w:rsidTr="00787ACA">
        <w:tc>
          <w:tcPr>
            <w:tcW w:w="0" w:type="auto"/>
          </w:tcPr>
          <w:p w14:paraId="743C3510" w14:textId="4349E926" w:rsidR="006D5D4C" w:rsidRDefault="00787ACA" w:rsidP="005C65FF">
            <w:r>
              <w:t xml:space="preserve">Vandens pagrindų direktyva (2000/60/EB) </w:t>
            </w:r>
          </w:p>
        </w:tc>
        <w:tc>
          <w:tcPr>
            <w:tcW w:w="0" w:type="auto"/>
          </w:tcPr>
          <w:p w14:paraId="44CC9362" w14:textId="77777777" w:rsidR="006D5D4C" w:rsidRDefault="006D5D4C"/>
        </w:tc>
        <w:tc>
          <w:tcPr>
            <w:tcW w:w="0" w:type="auto"/>
          </w:tcPr>
          <w:p w14:paraId="773EF815" w14:textId="77777777" w:rsidR="006D5D4C" w:rsidRDefault="006D5D4C"/>
        </w:tc>
        <w:tc>
          <w:tcPr>
            <w:tcW w:w="0" w:type="auto"/>
          </w:tcPr>
          <w:p w14:paraId="45C02388" w14:textId="77777777" w:rsidR="006D5D4C" w:rsidRDefault="006D5D4C"/>
        </w:tc>
        <w:tc>
          <w:tcPr>
            <w:tcW w:w="0" w:type="auto"/>
          </w:tcPr>
          <w:p w14:paraId="771FF371" w14:textId="77777777" w:rsidR="006D5D4C" w:rsidRDefault="006D5D4C"/>
        </w:tc>
      </w:tr>
      <w:tr w:rsidR="006D5D4C" w14:paraId="61DE3C0C" w14:textId="77777777" w:rsidTr="00787ACA">
        <w:tc>
          <w:tcPr>
            <w:tcW w:w="0" w:type="auto"/>
          </w:tcPr>
          <w:p w14:paraId="5029E1BD" w14:textId="77777777" w:rsidR="006D5D4C" w:rsidRDefault="00787ACA">
            <w:r>
              <w:t>Prioritetinių medžiagų direktyva (39/2013/EB)</w:t>
            </w:r>
          </w:p>
        </w:tc>
        <w:tc>
          <w:tcPr>
            <w:tcW w:w="0" w:type="auto"/>
          </w:tcPr>
          <w:p w14:paraId="71C5F1D0" w14:textId="77777777" w:rsidR="006D5D4C" w:rsidRDefault="006D5D4C"/>
        </w:tc>
        <w:tc>
          <w:tcPr>
            <w:tcW w:w="0" w:type="auto"/>
          </w:tcPr>
          <w:p w14:paraId="51DAB6D1" w14:textId="77777777" w:rsidR="006D5D4C" w:rsidRDefault="006D5D4C"/>
        </w:tc>
        <w:tc>
          <w:tcPr>
            <w:tcW w:w="0" w:type="auto"/>
          </w:tcPr>
          <w:p w14:paraId="4EA44C50" w14:textId="77777777" w:rsidR="006D5D4C" w:rsidRDefault="006D5D4C"/>
        </w:tc>
        <w:tc>
          <w:tcPr>
            <w:tcW w:w="0" w:type="auto"/>
          </w:tcPr>
          <w:p w14:paraId="1010717B" w14:textId="77777777" w:rsidR="006D5D4C" w:rsidRDefault="006D5D4C"/>
        </w:tc>
      </w:tr>
      <w:tr w:rsidR="006D5D4C" w14:paraId="1F150DD2" w14:textId="77777777" w:rsidTr="00787ACA">
        <w:tc>
          <w:tcPr>
            <w:tcW w:w="0" w:type="auto"/>
          </w:tcPr>
          <w:p w14:paraId="25B27353" w14:textId="0C2E4E77" w:rsidR="006D5D4C" w:rsidRDefault="00787ACA" w:rsidP="005C65FF">
            <w:r>
              <w:t xml:space="preserve">Geriamojo vandens kokybės direktyva (98/83/EB) </w:t>
            </w:r>
          </w:p>
        </w:tc>
        <w:tc>
          <w:tcPr>
            <w:tcW w:w="0" w:type="auto"/>
          </w:tcPr>
          <w:p w14:paraId="49FEFE42" w14:textId="77777777" w:rsidR="006D5D4C" w:rsidRDefault="006D5D4C"/>
        </w:tc>
        <w:tc>
          <w:tcPr>
            <w:tcW w:w="0" w:type="auto"/>
          </w:tcPr>
          <w:p w14:paraId="566D1247" w14:textId="77777777" w:rsidR="006D5D4C" w:rsidRDefault="006D5D4C"/>
        </w:tc>
        <w:tc>
          <w:tcPr>
            <w:tcW w:w="0" w:type="auto"/>
          </w:tcPr>
          <w:p w14:paraId="316301A4" w14:textId="77777777" w:rsidR="006D5D4C" w:rsidRDefault="006D5D4C"/>
        </w:tc>
        <w:tc>
          <w:tcPr>
            <w:tcW w:w="0" w:type="auto"/>
          </w:tcPr>
          <w:p w14:paraId="3E42ADDF" w14:textId="77777777" w:rsidR="006D5D4C" w:rsidRDefault="006D5D4C"/>
        </w:tc>
      </w:tr>
      <w:tr w:rsidR="006D5D4C" w14:paraId="340D887C" w14:textId="77777777" w:rsidTr="00787ACA">
        <w:tc>
          <w:tcPr>
            <w:tcW w:w="0" w:type="auto"/>
          </w:tcPr>
          <w:p w14:paraId="05BFE18C" w14:textId="37B3C999" w:rsidR="006D5D4C" w:rsidRDefault="00787ACA" w:rsidP="005C65FF">
            <w:r>
              <w:t>Požeminio vandens direktyva (2006/118/EB)</w:t>
            </w:r>
          </w:p>
        </w:tc>
        <w:tc>
          <w:tcPr>
            <w:tcW w:w="0" w:type="auto"/>
          </w:tcPr>
          <w:p w14:paraId="2D3C6A70" w14:textId="77777777" w:rsidR="006D5D4C" w:rsidRDefault="006D5D4C"/>
        </w:tc>
        <w:tc>
          <w:tcPr>
            <w:tcW w:w="0" w:type="auto"/>
          </w:tcPr>
          <w:p w14:paraId="01CC1578" w14:textId="77777777" w:rsidR="006D5D4C" w:rsidRDefault="006D5D4C"/>
        </w:tc>
        <w:tc>
          <w:tcPr>
            <w:tcW w:w="0" w:type="auto"/>
          </w:tcPr>
          <w:p w14:paraId="0D605AB6" w14:textId="77777777" w:rsidR="006D5D4C" w:rsidRDefault="006D5D4C"/>
        </w:tc>
        <w:tc>
          <w:tcPr>
            <w:tcW w:w="0" w:type="auto"/>
          </w:tcPr>
          <w:p w14:paraId="4484C1D9" w14:textId="77777777" w:rsidR="006D5D4C" w:rsidRDefault="006D5D4C"/>
        </w:tc>
      </w:tr>
      <w:tr w:rsidR="006D5D4C" w14:paraId="2B1EA059" w14:textId="77777777" w:rsidTr="00787ACA">
        <w:tc>
          <w:tcPr>
            <w:tcW w:w="0" w:type="auto"/>
          </w:tcPr>
          <w:p w14:paraId="0639D10C" w14:textId="77777777" w:rsidR="006D5D4C" w:rsidRDefault="00787ACA">
            <w:r>
              <w:t>Jūrų strategijos pagrindų direktyva (Direktyva 2008/56/EB)</w:t>
            </w:r>
          </w:p>
        </w:tc>
        <w:tc>
          <w:tcPr>
            <w:tcW w:w="0" w:type="auto"/>
          </w:tcPr>
          <w:p w14:paraId="73155E39" w14:textId="77777777" w:rsidR="006D5D4C" w:rsidRDefault="006D5D4C"/>
        </w:tc>
        <w:tc>
          <w:tcPr>
            <w:tcW w:w="0" w:type="auto"/>
          </w:tcPr>
          <w:p w14:paraId="15CC98A3" w14:textId="77777777" w:rsidR="006D5D4C" w:rsidRDefault="006D5D4C"/>
        </w:tc>
        <w:tc>
          <w:tcPr>
            <w:tcW w:w="0" w:type="auto"/>
          </w:tcPr>
          <w:p w14:paraId="6508564A" w14:textId="77777777" w:rsidR="006D5D4C" w:rsidRDefault="006D5D4C"/>
        </w:tc>
        <w:tc>
          <w:tcPr>
            <w:tcW w:w="0" w:type="auto"/>
          </w:tcPr>
          <w:p w14:paraId="0BE3541D" w14:textId="77777777" w:rsidR="006D5D4C" w:rsidRDefault="006D5D4C"/>
        </w:tc>
      </w:tr>
      <w:tr w:rsidR="006D5D4C" w14:paraId="3C0C2A36" w14:textId="77777777" w:rsidTr="00787ACA">
        <w:tc>
          <w:tcPr>
            <w:tcW w:w="0" w:type="auto"/>
          </w:tcPr>
          <w:p w14:paraId="50FA3891" w14:textId="77777777" w:rsidR="006D5D4C" w:rsidRDefault="00787ACA">
            <w:r>
              <w:t>Miesto vandens nuotekų direktyva (91/271/EEB)</w:t>
            </w:r>
          </w:p>
        </w:tc>
        <w:tc>
          <w:tcPr>
            <w:tcW w:w="0" w:type="auto"/>
          </w:tcPr>
          <w:p w14:paraId="2A590265" w14:textId="77777777" w:rsidR="006D5D4C" w:rsidRDefault="006D5D4C"/>
        </w:tc>
        <w:tc>
          <w:tcPr>
            <w:tcW w:w="0" w:type="auto"/>
          </w:tcPr>
          <w:p w14:paraId="33BDAFDD" w14:textId="77777777" w:rsidR="006D5D4C" w:rsidRDefault="006D5D4C"/>
        </w:tc>
        <w:tc>
          <w:tcPr>
            <w:tcW w:w="0" w:type="auto"/>
          </w:tcPr>
          <w:p w14:paraId="0F107C97" w14:textId="77777777" w:rsidR="006D5D4C" w:rsidRDefault="006D5D4C"/>
        </w:tc>
        <w:tc>
          <w:tcPr>
            <w:tcW w:w="0" w:type="auto"/>
          </w:tcPr>
          <w:p w14:paraId="06887564" w14:textId="77777777" w:rsidR="006D5D4C" w:rsidRDefault="006D5D4C"/>
        </w:tc>
      </w:tr>
      <w:tr w:rsidR="006D5D4C" w14:paraId="28019712" w14:textId="77777777" w:rsidTr="00787ACA">
        <w:tc>
          <w:tcPr>
            <w:tcW w:w="0" w:type="auto"/>
          </w:tcPr>
          <w:p w14:paraId="39BC2BE4" w14:textId="77777777" w:rsidR="006D5D4C" w:rsidRDefault="00787ACA">
            <w:r>
              <w:t>Direktyva dėl cheminių veiksnių darbe (98/24/EB)</w:t>
            </w:r>
            <w:r>
              <w:cr/>
            </w:r>
            <w:r>
              <w:br/>
            </w:r>
          </w:p>
        </w:tc>
        <w:tc>
          <w:tcPr>
            <w:tcW w:w="0" w:type="auto"/>
          </w:tcPr>
          <w:p w14:paraId="02EC8E3E" w14:textId="77777777" w:rsidR="006D5D4C" w:rsidRDefault="006D5D4C"/>
        </w:tc>
        <w:tc>
          <w:tcPr>
            <w:tcW w:w="0" w:type="auto"/>
          </w:tcPr>
          <w:p w14:paraId="48198DC8" w14:textId="77777777" w:rsidR="006D5D4C" w:rsidRDefault="006D5D4C"/>
        </w:tc>
        <w:tc>
          <w:tcPr>
            <w:tcW w:w="0" w:type="auto"/>
          </w:tcPr>
          <w:p w14:paraId="17610069" w14:textId="77777777" w:rsidR="006D5D4C" w:rsidRDefault="006D5D4C"/>
        </w:tc>
        <w:tc>
          <w:tcPr>
            <w:tcW w:w="0" w:type="auto"/>
          </w:tcPr>
          <w:p w14:paraId="7F5982F3" w14:textId="77777777" w:rsidR="006D5D4C" w:rsidRDefault="006D5D4C"/>
        </w:tc>
      </w:tr>
      <w:tr w:rsidR="006D5D4C" w14:paraId="404DF65F" w14:textId="77777777" w:rsidTr="00787ACA">
        <w:tc>
          <w:tcPr>
            <w:tcW w:w="0" w:type="auto"/>
          </w:tcPr>
          <w:p w14:paraId="600D4B81" w14:textId="77777777" w:rsidR="006D5D4C" w:rsidRDefault="00787ACA">
            <w:r>
              <w:t>Kancerogenų ir mutagenų direktyva (2004/37/EB)</w:t>
            </w:r>
          </w:p>
        </w:tc>
        <w:tc>
          <w:tcPr>
            <w:tcW w:w="0" w:type="auto"/>
          </w:tcPr>
          <w:p w14:paraId="79167604" w14:textId="77777777" w:rsidR="006D5D4C" w:rsidRDefault="006D5D4C"/>
        </w:tc>
        <w:tc>
          <w:tcPr>
            <w:tcW w:w="0" w:type="auto"/>
          </w:tcPr>
          <w:p w14:paraId="6DBA75B4" w14:textId="77777777" w:rsidR="006D5D4C" w:rsidRDefault="006D5D4C"/>
        </w:tc>
        <w:tc>
          <w:tcPr>
            <w:tcW w:w="0" w:type="auto"/>
          </w:tcPr>
          <w:p w14:paraId="25427D24" w14:textId="77777777" w:rsidR="006D5D4C" w:rsidRDefault="006D5D4C"/>
        </w:tc>
        <w:tc>
          <w:tcPr>
            <w:tcW w:w="0" w:type="auto"/>
          </w:tcPr>
          <w:p w14:paraId="02C7A693" w14:textId="77777777" w:rsidR="006D5D4C" w:rsidRDefault="006D5D4C"/>
        </w:tc>
      </w:tr>
      <w:tr w:rsidR="006D5D4C" w14:paraId="756A9659" w14:textId="77777777" w:rsidTr="00787ACA">
        <w:tc>
          <w:tcPr>
            <w:tcW w:w="0" w:type="auto"/>
          </w:tcPr>
          <w:p w14:paraId="09F1715C" w14:textId="77777777" w:rsidR="006D5D4C" w:rsidRDefault="00787ACA">
            <w:r>
              <w:t>Nėščių darbuotojų direktyva (1992/85/EEB)</w:t>
            </w:r>
            <w:r>
              <w:cr/>
            </w:r>
            <w:r>
              <w:br/>
            </w:r>
          </w:p>
        </w:tc>
        <w:tc>
          <w:tcPr>
            <w:tcW w:w="0" w:type="auto"/>
          </w:tcPr>
          <w:p w14:paraId="0E968E8C" w14:textId="77777777" w:rsidR="006D5D4C" w:rsidRDefault="006D5D4C"/>
        </w:tc>
        <w:tc>
          <w:tcPr>
            <w:tcW w:w="0" w:type="auto"/>
          </w:tcPr>
          <w:p w14:paraId="40E74635" w14:textId="77777777" w:rsidR="006D5D4C" w:rsidRDefault="006D5D4C"/>
        </w:tc>
        <w:tc>
          <w:tcPr>
            <w:tcW w:w="0" w:type="auto"/>
          </w:tcPr>
          <w:p w14:paraId="037D45AF" w14:textId="77777777" w:rsidR="006D5D4C" w:rsidRDefault="006D5D4C"/>
        </w:tc>
        <w:tc>
          <w:tcPr>
            <w:tcW w:w="0" w:type="auto"/>
          </w:tcPr>
          <w:p w14:paraId="77E709A9" w14:textId="77777777" w:rsidR="006D5D4C" w:rsidRDefault="006D5D4C"/>
        </w:tc>
      </w:tr>
      <w:tr w:rsidR="006D5D4C" w14:paraId="554DD4D4" w14:textId="77777777" w:rsidTr="00787ACA">
        <w:tc>
          <w:tcPr>
            <w:tcW w:w="0" w:type="auto"/>
          </w:tcPr>
          <w:p w14:paraId="1516BB36" w14:textId="77777777" w:rsidR="006D5D4C" w:rsidRDefault="00787ACA">
            <w:r>
              <w:t>Direktyva dėl dirbančio jaunimo (1994/33/EB)</w:t>
            </w:r>
            <w:r>
              <w:cr/>
            </w:r>
            <w:r>
              <w:br/>
            </w:r>
          </w:p>
        </w:tc>
        <w:tc>
          <w:tcPr>
            <w:tcW w:w="0" w:type="auto"/>
          </w:tcPr>
          <w:p w14:paraId="2418C93B" w14:textId="77777777" w:rsidR="006D5D4C" w:rsidRDefault="006D5D4C"/>
        </w:tc>
        <w:tc>
          <w:tcPr>
            <w:tcW w:w="0" w:type="auto"/>
          </w:tcPr>
          <w:p w14:paraId="65ECA244" w14:textId="77777777" w:rsidR="006D5D4C" w:rsidRDefault="006D5D4C"/>
        </w:tc>
        <w:tc>
          <w:tcPr>
            <w:tcW w:w="0" w:type="auto"/>
          </w:tcPr>
          <w:p w14:paraId="4219EFA2" w14:textId="77777777" w:rsidR="006D5D4C" w:rsidRDefault="006D5D4C"/>
        </w:tc>
        <w:tc>
          <w:tcPr>
            <w:tcW w:w="0" w:type="auto"/>
          </w:tcPr>
          <w:p w14:paraId="780AE706" w14:textId="77777777" w:rsidR="006D5D4C" w:rsidRDefault="006D5D4C"/>
        </w:tc>
      </w:tr>
      <w:tr w:rsidR="006D5D4C" w14:paraId="009CA493" w14:textId="77777777" w:rsidTr="00787ACA">
        <w:tc>
          <w:tcPr>
            <w:tcW w:w="0" w:type="auto"/>
          </w:tcPr>
          <w:p w14:paraId="25EAA867" w14:textId="77777777" w:rsidR="006D5D4C" w:rsidRDefault="00787ACA">
            <w:pPr>
              <w:spacing w:before="120"/>
              <w:rPr>
                <w:i/>
              </w:rPr>
            </w:pPr>
            <w:r>
              <w:t>Direktyva 2008/98/EB dėl atliekų</w:t>
            </w:r>
          </w:p>
        </w:tc>
        <w:tc>
          <w:tcPr>
            <w:tcW w:w="0" w:type="auto"/>
          </w:tcPr>
          <w:p w14:paraId="364B33A9" w14:textId="77777777" w:rsidR="006D5D4C" w:rsidRDefault="006D5D4C"/>
        </w:tc>
        <w:tc>
          <w:tcPr>
            <w:tcW w:w="0" w:type="auto"/>
          </w:tcPr>
          <w:p w14:paraId="7E09B5BB" w14:textId="77777777" w:rsidR="006D5D4C" w:rsidRDefault="006D5D4C"/>
        </w:tc>
        <w:tc>
          <w:tcPr>
            <w:tcW w:w="0" w:type="auto"/>
          </w:tcPr>
          <w:p w14:paraId="558DB0E2" w14:textId="77777777" w:rsidR="006D5D4C" w:rsidRDefault="006D5D4C"/>
        </w:tc>
        <w:tc>
          <w:tcPr>
            <w:tcW w:w="0" w:type="auto"/>
          </w:tcPr>
          <w:p w14:paraId="37C7A1F2" w14:textId="77777777" w:rsidR="006D5D4C" w:rsidRDefault="006D5D4C"/>
        </w:tc>
      </w:tr>
      <w:tr w:rsidR="006D5D4C" w14:paraId="6101D063" w14:textId="77777777" w:rsidTr="00787ACA">
        <w:tc>
          <w:tcPr>
            <w:tcW w:w="0" w:type="auto"/>
          </w:tcPr>
          <w:p w14:paraId="14623ED9" w14:textId="23C84A60" w:rsidR="006D5D4C" w:rsidRDefault="00787ACA" w:rsidP="005C65FF">
            <w:pPr>
              <w:spacing w:before="120"/>
              <w:rPr>
                <w:i/>
              </w:rPr>
            </w:pPr>
            <w:r>
              <w:t>Tam tikrų pavojingų medžiagų naudojimo elektros ir elektroninėje įrangoje ribojimas (Direktyva 2011/65/ES)</w:t>
            </w:r>
          </w:p>
        </w:tc>
        <w:tc>
          <w:tcPr>
            <w:tcW w:w="0" w:type="auto"/>
          </w:tcPr>
          <w:p w14:paraId="1811BB17" w14:textId="77777777" w:rsidR="006D5D4C" w:rsidRDefault="006D5D4C"/>
        </w:tc>
        <w:tc>
          <w:tcPr>
            <w:tcW w:w="0" w:type="auto"/>
          </w:tcPr>
          <w:p w14:paraId="7B431F6E" w14:textId="77777777" w:rsidR="006D5D4C" w:rsidRDefault="006D5D4C"/>
        </w:tc>
        <w:tc>
          <w:tcPr>
            <w:tcW w:w="0" w:type="auto"/>
          </w:tcPr>
          <w:p w14:paraId="5919BEC0" w14:textId="77777777" w:rsidR="006D5D4C" w:rsidRDefault="006D5D4C"/>
        </w:tc>
        <w:tc>
          <w:tcPr>
            <w:tcW w:w="0" w:type="auto"/>
          </w:tcPr>
          <w:p w14:paraId="4BB7B0AE" w14:textId="77777777" w:rsidR="006D5D4C" w:rsidRDefault="006D5D4C"/>
        </w:tc>
      </w:tr>
      <w:tr w:rsidR="006D5D4C" w14:paraId="1BAA546A" w14:textId="77777777" w:rsidTr="00787ACA">
        <w:tc>
          <w:tcPr>
            <w:tcW w:w="0" w:type="auto"/>
          </w:tcPr>
          <w:p w14:paraId="1DA44341" w14:textId="77777777" w:rsidR="006D5D4C" w:rsidRDefault="00787ACA">
            <w:r>
              <w:t>Pramoninių išmetamųjų teršalų (Taršos integruotos prevencijos ir kontrolės) direktyva (2010/75/ES)</w:t>
            </w:r>
            <w:r>
              <w:cr/>
            </w:r>
            <w:r>
              <w:br/>
            </w:r>
          </w:p>
        </w:tc>
        <w:tc>
          <w:tcPr>
            <w:tcW w:w="0" w:type="auto"/>
          </w:tcPr>
          <w:p w14:paraId="41B4CD8F" w14:textId="77777777" w:rsidR="006D5D4C" w:rsidRDefault="006D5D4C"/>
        </w:tc>
        <w:tc>
          <w:tcPr>
            <w:tcW w:w="0" w:type="auto"/>
          </w:tcPr>
          <w:p w14:paraId="503EC296" w14:textId="77777777" w:rsidR="006D5D4C" w:rsidRDefault="006D5D4C"/>
        </w:tc>
        <w:tc>
          <w:tcPr>
            <w:tcW w:w="0" w:type="auto"/>
          </w:tcPr>
          <w:p w14:paraId="12BBD3F4" w14:textId="77777777" w:rsidR="006D5D4C" w:rsidRDefault="006D5D4C"/>
        </w:tc>
        <w:tc>
          <w:tcPr>
            <w:tcW w:w="0" w:type="auto"/>
          </w:tcPr>
          <w:p w14:paraId="4ABEFADA" w14:textId="77777777" w:rsidR="006D5D4C" w:rsidRDefault="006D5D4C"/>
        </w:tc>
      </w:tr>
      <w:tr w:rsidR="006D5D4C" w14:paraId="5C9C331F" w14:textId="77777777" w:rsidTr="00787ACA">
        <w:tc>
          <w:tcPr>
            <w:tcW w:w="0" w:type="auto"/>
          </w:tcPr>
          <w:p w14:paraId="70752A77" w14:textId="77777777" w:rsidR="006D5D4C" w:rsidRDefault="00787ACA">
            <w:r>
              <w:t>Seveso III direktyva (2012/18/ES)</w:t>
            </w:r>
            <w:r>
              <w:cr/>
            </w:r>
            <w:r>
              <w:br/>
            </w:r>
          </w:p>
        </w:tc>
        <w:tc>
          <w:tcPr>
            <w:tcW w:w="0" w:type="auto"/>
          </w:tcPr>
          <w:p w14:paraId="59EB0DC4" w14:textId="77777777" w:rsidR="006D5D4C" w:rsidRDefault="006D5D4C"/>
        </w:tc>
        <w:tc>
          <w:tcPr>
            <w:tcW w:w="0" w:type="auto"/>
          </w:tcPr>
          <w:p w14:paraId="297BFFD5" w14:textId="77777777" w:rsidR="006D5D4C" w:rsidRDefault="006D5D4C"/>
        </w:tc>
        <w:tc>
          <w:tcPr>
            <w:tcW w:w="0" w:type="auto"/>
          </w:tcPr>
          <w:p w14:paraId="151249E0" w14:textId="77777777" w:rsidR="006D5D4C" w:rsidRDefault="006D5D4C"/>
        </w:tc>
        <w:tc>
          <w:tcPr>
            <w:tcW w:w="0" w:type="auto"/>
          </w:tcPr>
          <w:p w14:paraId="79A8D264" w14:textId="77777777" w:rsidR="006D5D4C" w:rsidRDefault="006D5D4C"/>
        </w:tc>
      </w:tr>
      <w:tr w:rsidR="006D5D4C" w14:paraId="35A6A3EE" w14:textId="77777777" w:rsidTr="00787ACA">
        <w:tc>
          <w:tcPr>
            <w:tcW w:w="0" w:type="auto"/>
          </w:tcPr>
          <w:p w14:paraId="6F622292" w14:textId="77777777" w:rsidR="006D5D4C" w:rsidRDefault="00787ACA">
            <w:r>
              <w:t>2008 m. gegužės 21 d. Europos Parlamento ir Tarybos direktyva 2008/50/EB dėl aplinkos oro kokybės ir švaresnio oro Europoje</w:t>
            </w:r>
          </w:p>
        </w:tc>
        <w:tc>
          <w:tcPr>
            <w:tcW w:w="0" w:type="auto"/>
          </w:tcPr>
          <w:p w14:paraId="22D533FA" w14:textId="77777777" w:rsidR="006D5D4C" w:rsidRDefault="006D5D4C"/>
        </w:tc>
        <w:tc>
          <w:tcPr>
            <w:tcW w:w="0" w:type="auto"/>
          </w:tcPr>
          <w:p w14:paraId="6837B7E3" w14:textId="77777777" w:rsidR="006D5D4C" w:rsidRDefault="006D5D4C"/>
        </w:tc>
        <w:tc>
          <w:tcPr>
            <w:tcW w:w="0" w:type="auto"/>
          </w:tcPr>
          <w:p w14:paraId="3C9676E7" w14:textId="77777777" w:rsidR="006D5D4C" w:rsidRDefault="006D5D4C"/>
        </w:tc>
        <w:tc>
          <w:tcPr>
            <w:tcW w:w="0" w:type="auto"/>
          </w:tcPr>
          <w:p w14:paraId="735C43EC" w14:textId="77777777" w:rsidR="006D5D4C" w:rsidRDefault="006D5D4C"/>
        </w:tc>
      </w:tr>
      <w:tr w:rsidR="006D5D4C" w14:paraId="67ADBA83" w14:textId="77777777" w:rsidTr="00787ACA">
        <w:tc>
          <w:tcPr>
            <w:tcW w:w="0" w:type="auto"/>
          </w:tcPr>
          <w:p w14:paraId="54EBAA37" w14:textId="4E712CDA" w:rsidR="006D5D4C" w:rsidRDefault="00787ACA" w:rsidP="005C65FF">
            <w:r>
              <w:t>Reglamentas Nr. 66/2010 (EB) dėl ES ekologinio ženklo</w:t>
            </w:r>
          </w:p>
        </w:tc>
        <w:tc>
          <w:tcPr>
            <w:tcW w:w="0" w:type="auto"/>
          </w:tcPr>
          <w:p w14:paraId="6FEDE821" w14:textId="77777777" w:rsidR="006D5D4C" w:rsidRDefault="006D5D4C"/>
        </w:tc>
        <w:tc>
          <w:tcPr>
            <w:tcW w:w="0" w:type="auto"/>
          </w:tcPr>
          <w:p w14:paraId="14EF2643" w14:textId="77777777" w:rsidR="006D5D4C" w:rsidRDefault="006D5D4C"/>
        </w:tc>
        <w:tc>
          <w:tcPr>
            <w:tcW w:w="0" w:type="auto"/>
          </w:tcPr>
          <w:p w14:paraId="359B9DF3" w14:textId="77777777" w:rsidR="006D5D4C" w:rsidRDefault="006D5D4C"/>
        </w:tc>
        <w:tc>
          <w:tcPr>
            <w:tcW w:w="0" w:type="auto"/>
          </w:tcPr>
          <w:p w14:paraId="2E07434D" w14:textId="77777777" w:rsidR="006D5D4C" w:rsidRDefault="006D5D4C"/>
        </w:tc>
      </w:tr>
    </w:tbl>
    <w:p w14:paraId="630DD148" w14:textId="77777777" w:rsidR="006D5D4C" w:rsidRDefault="006D5D4C">
      <w:pPr>
        <w:rPr>
          <w:b/>
        </w:rPr>
      </w:pPr>
    </w:p>
    <w:p w14:paraId="1D8B9942" w14:textId="17F05A91" w:rsidR="006D5D4C" w:rsidRDefault="00657E80">
      <w:pPr>
        <w:rPr>
          <w:b/>
        </w:rPr>
      </w:pPr>
      <w:r>
        <w:rPr>
          <w:b/>
        </w:rPr>
        <w:t>Bendrovės informacija apie endokrininę sistemą ardančias medžiagas</w:t>
      </w:r>
      <w:r>
        <w:rPr>
          <w:b/>
        </w:rPr>
        <w:cr/>
      </w:r>
      <w:r>
        <w:rPr>
          <w:b/>
        </w:rPr>
        <w:br/>
      </w:r>
    </w:p>
    <w:p w14:paraId="23CF8264" w14:textId="56EECCE1" w:rsidR="006D5D4C" w:rsidRDefault="004B3383">
      <w:pPr>
        <w:pStyle w:val="ListParagraph"/>
        <w:numPr>
          <w:ilvl w:val="0"/>
          <w:numId w:val="36"/>
        </w:numPr>
      </w:pPr>
      <w:r>
        <w:t>Kokius informacijos apie endokrininę sistemą ardančias medžiagas šaltinius jūsų įmonė naudoja daugiausia?</w:t>
      </w:r>
      <w:r>
        <w:cr/>
      </w:r>
      <w:r>
        <w:br/>
      </w:r>
    </w:p>
    <w:p w14:paraId="5AD13C7F" w14:textId="77777777" w:rsidR="006D5D4C" w:rsidRDefault="006D5D4C">
      <w:pPr>
        <w:pStyle w:val="ListParagraph"/>
        <w:ind w:left="340"/>
      </w:pPr>
    </w:p>
    <w:tbl>
      <w:tblPr>
        <w:tblStyle w:val="TableGrid"/>
        <w:tblW w:w="0" w:type="auto"/>
        <w:tblInd w:w="108" w:type="dxa"/>
        <w:tblLook w:val="04A0" w:firstRow="1" w:lastRow="0" w:firstColumn="1" w:lastColumn="0" w:noHBand="0" w:noVBand="1"/>
      </w:tblPr>
      <w:tblGrid>
        <w:gridCol w:w="1679"/>
        <w:gridCol w:w="1665"/>
        <w:gridCol w:w="1138"/>
        <w:gridCol w:w="914"/>
        <w:gridCol w:w="925"/>
        <w:gridCol w:w="925"/>
        <w:gridCol w:w="1366"/>
      </w:tblGrid>
      <w:tr w:rsidR="006D5D4C" w14:paraId="4FDB47F7" w14:textId="77777777" w:rsidTr="00711EA7">
        <w:tc>
          <w:tcPr>
            <w:tcW w:w="0" w:type="auto"/>
          </w:tcPr>
          <w:p w14:paraId="234E41FF" w14:textId="77777777" w:rsidR="006D5D4C" w:rsidRDefault="0023703A">
            <w:r>
              <w:t>Informacijos šaltinis</w:t>
            </w:r>
          </w:p>
        </w:tc>
        <w:tc>
          <w:tcPr>
            <w:tcW w:w="0" w:type="auto"/>
          </w:tcPr>
          <w:p w14:paraId="0C4697D3" w14:textId="77777777" w:rsidR="006D5D4C" w:rsidRDefault="006D5D4C"/>
        </w:tc>
        <w:tc>
          <w:tcPr>
            <w:tcW w:w="0" w:type="auto"/>
          </w:tcPr>
          <w:p w14:paraId="0B3B385F" w14:textId="77777777" w:rsidR="006D5D4C" w:rsidRDefault="0023703A">
            <w:pPr>
              <w:rPr>
                <w:sz w:val="20"/>
              </w:rPr>
            </w:pPr>
            <w:r>
              <w:rPr>
                <w:sz w:val="20"/>
              </w:rPr>
              <w:t>1</w:t>
            </w:r>
          </w:p>
          <w:p w14:paraId="79EE4942" w14:textId="77777777" w:rsidR="006D5D4C" w:rsidRDefault="0023703A">
            <w:pPr>
              <w:rPr>
                <w:sz w:val="20"/>
              </w:rPr>
            </w:pPr>
            <w:r>
              <w:rPr>
                <w:sz w:val="20"/>
              </w:rPr>
              <w:t xml:space="preserve">Niekada nenaudoja </w:t>
            </w:r>
          </w:p>
        </w:tc>
        <w:tc>
          <w:tcPr>
            <w:tcW w:w="0" w:type="auto"/>
          </w:tcPr>
          <w:p w14:paraId="457D6462" w14:textId="77777777" w:rsidR="006D5D4C" w:rsidRDefault="0023703A">
            <w:pPr>
              <w:rPr>
                <w:sz w:val="20"/>
              </w:rPr>
            </w:pPr>
            <w:r>
              <w:rPr>
                <w:sz w:val="20"/>
              </w:rPr>
              <w:t>2</w:t>
            </w:r>
          </w:p>
          <w:p w14:paraId="7680E3BB" w14:textId="77777777" w:rsidR="006D5D4C" w:rsidRDefault="0023703A">
            <w:pPr>
              <w:rPr>
                <w:sz w:val="20"/>
              </w:rPr>
            </w:pPr>
            <w:r>
              <w:rPr>
                <w:sz w:val="20"/>
              </w:rPr>
              <w:t>Retai naudoja</w:t>
            </w:r>
          </w:p>
        </w:tc>
        <w:tc>
          <w:tcPr>
            <w:tcW w:w="0" w:type="auto"/>
          </w:tcPr>
          <w:p w14:paraId="38E4E795" w14:textId="2236B7D9" w:rsidR="006D5D4C" w:rsidRDefault="0023703A">
            <w:pPr>
              <w:rPr>
                <w:sz w:val="20"/>
              </w:rPr>
            </w:pPr>
            <w:r>
              <w:rPr>
                <w:sz w:val="20"/>
              </w:rPr>
              <w:t>3</w:t>
            </w:r>
          </w:p>
          <w:p w14:paraId="40950DBB" w14:textId="77777777" w:rsidR="006D5D4C" w:rsidRDefault="0023703A">
            <w:pPr>
              <w:rPr>
                <w:sz w:val="20"/>
              </w:rPr>
            </w:pPr>
            <w:r>
              <w:rPr>
                <w:sz w:val="20"/>
              </w:rPr>
              <w:t>Kartais naudoja</w:t>
            </w:r>
          </w:p>
        </w:tc>
        <w:tc>
          <w:tcPr>
            <w:tcW w:w="0" w:type="auto"/>
          </w:tcPr>
          <w:p w14:paraId="313C872A" w14:textId="2837BDB9" w:rsidR="006D5D4C" w:rsidRDefault="0023703A">
            <w:pPr>
              <w:rPr>
                <w:sz w:val="20"/>
              </w:rPr>
            </w:pPr>
            <w:r>
              <w:rPr>
                <w:sz w:val="20"/>
              </w:rPr>
              <w:t>4</w:t>
            </w:r>
          </w:p>
          <w:p w14:paraId="7A1A33FD" w14:textId="77777777" w:rsidR="006D5D4C" w:rsidRDefault="0023703A">
            <w:pPr>
              <w:rPr>
                <w:sz w:val="20"/>
              </w:rPr>
            </w:pPr>
            <w:r>
              <w:rPr>
                <w:sz w:val="20"/>
              </w:rPr>
              <w:t>Dažnai naudoja</w:t>
            </w:r>
          </w:p>
        </w:tc>
        <w:tc>
          <w:tcPr>
            <w:tcW w:w="0" w:type="auto"/>
          </w:tcPr>
          <w:p w14:paraId="5A497A07" w14:textId="77777777" w:rsidR="006D5D4C" w:rsidRDefault="0023703A">
            <w:pPr>
              <w:rPr>
                <w:sz w:val="20"/>
              </w:rPr>
            </w:pPr>
            <w:r>
              <w:rPr>
                <w:sz w:val="20"/>
              </w:rPr>
              <w:t>Apie šį informacijos šaltinį nežinau</w:t>
            </w:r>
          </w:p>
        </w:tc>
      </w:tr>
      <w:tr w:rsidR="006D5D4C" w14:paraId="7FEF2F7C" w14:textId="77777777" w:rsidTr="00711EA7">
        <w:tc>
          <w:tcPr>
            <w:tcW w:w="0" w:type="auto"/>
            <w:vMerge w:val="restart"/>
          </w:tcPr>
          <w:p w14:paraId="2A64BE60" w14:textId="77777777" w:rsidR="006D5D4C" w:rsidRDefault="0023703A">
            <w:r>
              <w:t>Verslo partneriai</w:t>
            </w:r>
          </w:p>
        </w:tc>
        <w:tc>
          <w:tcPr>
            <w:tcW w:w="0" w:type="auto"/>
          </w:tcPr>
          <w:p w14:paraId="75E83513" w14:textId="77777777" w:rsidR="006D5D4C" w:rsidRDefault="0023703A">
            <w:r>
              <w:t>Cheminių medžiagų gamintojai ar tiekėjai</w:t>
            </w:r>
          </w:p>
        </w:tc>
        <w:tc>
          <w:tcPr>
            <w:tcW w:w="0" w:type="auto"/>
          </w:tcPr>
          <w:p w14:paraId="68490FB0" w14:textId="77777777" w:rsidR="006D5D4C" w:rsidRDefault="006D5D4C"/>
        </w:tc>
        <w:tc>
          <w:tcPr>
            <w:tcW w:w="0" w:type="auto"/>
          </w:tcPr>
          <w:p w14:paraId="55EBC175" w14:textId="77777777" w:rsidR="006D5D4C" w:rsidRDefault="006D5D4C"/>
        </w:tc>
        <w:tc>
          <w:tcPr>
            <w:tcW w:w="0" w:type="auto"/>
          </w:tcPr>
          <w:p w14:paraId="79D149F1" w14:textId="77777777" w:rsidR="006D5D4C" w:rsidRDefault="006D5D4C"/>
        </w:tc>
        <w:tc>
          <w:tcPr>
            <w:tcW w:w="0" w:type="auto"/>
          </w:tcPr>
          <w:p w14:paraId="6D0E8B73" w14:textId="77777777" w:rsidR="006D5D4C" w:rsidRDefault="006D5D4C"/>
        </w:tc>
        <w:tc>
          <w:tcPr>
            <w:tcW w:w="0" w:type="auto"/>
          </w:tcPr>
          <w:p w14:paraId="6208A001" w14:textId="77777777" w:rsidR="006D5D4C" w:rsidRDefault="006D5D4C"/>
        </w:tc>
      </w:tr>
      <w:tr w:rsidR="006D5D4C" w14:paraId="678238F8" w14:textId="77777777" w:rsidTr="00711EA7">
        <w:tc>
          <w:tcPr>
            <w:tcW w:w="0" w:type="auto"/>
            <w:vMerge/>
          </w:tcPr>
          <w:p w14:paraId="15FDA22F" w14:textId="77777777" w:rsidR="006D5D4C" w:rsidRDefault="006D5D4C"/>
        </w:tc>
        <w:tc>
          <w:tcPr>
            <w:tcW w:w="0" w:type="auto"/>
          </w:tcPr>
          <w:p w14:paraId="3E439B8C" w14:textId="77777777" w:rsidR="006D5D4C" w:rsidRDefault="0023703A">
            <w:r>
              <w:t>Saugos duomenų lapas</w:t>
            </w:r>
          </w:p>
        </w:tc>
        <w:tc>
          <w:tcPr>
            <w:tcW w:w="0" w:type="auto"/>
          </w:tcPr>
          <w:p w14:paraId="42B325B9" w14:textId="77777777" w:rsidR="006D5D4C" w:rsidRDefault="006D5D4C"/>
        </w:tc>
        <w:tc>
          <w:tcPr>
            <w:tcW w:w="0" w:type="auto"/>
          </w:tcPr>
          <w:p w14:paraId="6DBAF834" w14:textId="77777777" w:rsidR="006D5D4C" w:rsidRDefault="006D5D4C"/>
        </w:tc>
        <w:tc>
          <w:tcPr>
            <w:tcW w:w="0" w:type="auto"/>
          </w:tcPr>
          <w:p w14:paraId="41263B92" w14:textId="77777777" w:rsidR="006D5D4C" w:rsidRDefault="006D5D4C"/>
        </w:tc>
        <w:tc>
          <w:tcPr>
            <w:tcW w:w="0" w:type="auto"/>
          </w:tcPr>
          <w:p w14:paraId="72C82FCB" w14:textId="77777777" w:rsidR="006D5D4C" w:rsidRDefault="006D5D4C"/>
        </w:tc>
        <w:tc>
          <w:tcPr>
            <w:tcW w:w="0" w:type="auto"/>
          </w:tcPr>
          <w:p w14:paraId="04DE8433" w14:textId="77777777" w:rsidR="006D5D4C" w:rsidRDefault="006D5D4C"/>
        </w:tc>
      </w:tr>
      <w:tr w:rsidR="006D5D4C" w14:paraId="6DDA924C" w14:textId="77777777" w:rsidTr="00711EA7">
        <w:tc>
          <w:tcPr>
            <w:tcW w:w="0" w:type="auto"/>
            <w:vMerge/>
          </w:tcPr>
          <w:p w14:paraId="09D074E3" w14:textId="77777777" w:rsidR="006D5D4C" w:rsidRDefault="006D5D4C"/>
        </w:tc>
        <w:tc>
          <w:tcPr>
            <w:tcW w:w="0" w:type="auto"/>
          </w:tcPr>
          <w:p w14:paraId="1D20E66F" w14:textId="77777777" w:rsidR="006D5D4C" w:rsidRDefault="0023703A">
            <w:r>
              <w:t>Vartotojai</w:t>
            </w:r>
          </w:p>
        </w:tc>
        <w:tc>
          <w:tcPr>
            <w:tcW w:w="0" w:type="auto"/>
          </w:tcPr>
          <w:p w14:paraId="1234EC1F" w14:textId="77777777" w:rsidR="006D5D4C" w:rsidRDefault="006D5D4C"/>
        </w:tc>
        <w:tc>
          <w:tcPr>
            <w:tcW w:w="0" w:type="auto"/>
          </w:tcPr>
          <w:p w14:paraId="135312CB" w14:textId="77777777" w:rsidR="006D5D4C" w:rsidRDefault="006D5D4C"/>
        </w:tc>
        <w:tc>
          <w:tcPr>
            <w:tcW w:w="0" w:type="auto"/>
          </w:tcPr>
          <w:p w14:paraId="4F3B9D1C" w14:textId="77777777" w:rsidR="006D5D4C" w:rsidRDefault="006D5D4C"/>
        </w:tc>
        <w:tc>
          <w:tcPr>
            <w:tcW w:w="0" w:type="auto"/>
          </w:tcPr>
          <w:p w14:paraId="3D072618" w14:textId="77777777" w:rsidR="006D5D4C" w:rsidRDefault="006D5D4C"/>
        </w:tc>
        <w:tc>
          <w:tcPr>
            <w:tcW w:w="0" w:type="auto"/>
          </w:tcPr>
          <w:p w14:paraId="564D4846" w14:textId="77777777" w:rsidR="006D5D4C" w:rsidRDefault="006D5D4C"/>
        </w:tc>
      </w:tr>
      <w:tr w:rsidR="006D5D4C" w14:paraId="6540126D" w14:textId="77777777" w:rsidTr="00711EA7">
        <w:tc>
          <w:tcPr>
            <w:tcW w:w="0" w:type="auto"/>
            <w:vMerge/>
          </w:tcPr>
          <w:p w14:paraId="752B6AE3" w14:textId="77777777" w:rsidR="006D5D4C" w:rsidRDefault="006D5D4C"/>
        </w:tc>
        <w:tc>
          <w:tcPr>
            <w:tcW w:w="0" w:type="auto"/>
          </w:tcPr>
          <w:p w14:paraId="1DB07B48" w14:textId="77777777" w:rsidR="006D5D4C" w:rsidRDefault="0023703A">
            <w:r>
              <w:t>Konsultantai, įskaitant teisinių paslaugų bendroves</w:t>
            </w:r>
          </w:p>
        </w:tc>
        <w:tc>
          <w:tcPr>
            <w:tcW w:w="0" w:type="auto"/>
          </w:tcPr>
          <w:p w14:paraId="16763387" w14:textId="77777777" w:rsidR="006D5D4C" w:rsidRDefault="006D5D4C"/>
        </w:tc>
        <w:tc>
          <w:tcPr>
            <w:tcW w:w="0" w:type="auto"/>
          </w:tcPr>
          <w:p w14:paraId="4FA388A0" w14:textId="77777777" w:rsidR="006D5D4C" w:rsidRDefault="006D5D4C"/>
        </w:tc>
        <w:tc>
          <w:tcPr>
            <w:tcW w:w="0" w:type="auto"/>
          </w:tcPr>
          <w:p w14:paraId="2A4D7D6C" w14:textId="77777777" w:rsidR="006D5D4C" w:rsidRDefault="006D5D4C"/>
        </w:tc>
        <w:tc>
          <w:tcPr>
            <w:tcW w:w="0" w:type="auto"/>
          </w:tcPr>
          <w:p w14:paraId="79D152E6" w14:textId="77777777" w:rsidR="006D5D4C" w:rsidRDefault="006D5D4C"/>
        </w:tc>
        <w:tc>
          <w:tcPr>
            <w:tcW w:w="0" w:type="auto"/>
          </w:tcPr>
          <w:p w14:paraId="6E664A5F" w14:textId="77777777" w:rsidR="006D5D4C" w:rsidRDefault="006D5D4C"/>
        </w:tc>
      </w:tr>
      <w:tr w:rsidR="006D5D4C" w14:paraId="6545511F" w14:textId="77777777" w:rsidTr="00711EA7">
        <w:tc>
          <w:tcPr>
            <w:tcW w:w="0" w:type="auto"/>
          </w:tcPr>
          <w:p w14:paraId="389C0A3F" w14:textId="207BFA81" w:rsidR="006D5D4C" w:rsidRDefault="00EC4B47">
            <w:r>
              <w:t>Pramonės įmonių asociacijos</w:t>
            </w:r>
          </w:p>
        </w:tc>
        <w:tc>
          <w:tcPr>
            <w:tcW w:w="0" w:type="auto"/>
          </w:tcPr>
          <w:p w14:paraId="5541D2E0" w14:textId="77777777" w:rsidR="006D5D4C" w:rsidRDefault="006D5D4C"/>
        </w:tc>
        <w:tc>
          <w:tcPr>
            <w:tcW w:w="0" w:type="auto"/>
          </w:tcPr>
          <w:p w14:paraId="5943B9DC" w14:textId="77777777" w:rsidR="006D5D4C" w:rsidRDefault="006D5D4C"/>
        </w:tc>
        <w:tc>
          <w:tcPr>
            <w:tcW w:w="0" w:type="auto"/>
          </w:tcPr>
          <w:p w14:paraId="163E08A3" w14:textId="77777777" w:rsidR="006D5D4C" w:rsidRDefault="006D5D4C"/>
        </w:tc>
        <w:tc>
          <w:tcPr>
            <w:tcW w:w="0" w:type="auto"/>
          </w:tcPr>
          <w:p w14:paraId="64DE1547" w14:textId="77777777" w:rsidR="006D5D4C" w:rsidRDefault="006D5D4C"/>
        </w:tc>
        <w:tc>
          <w:tcPr>
            <w:tcW w:w="0" w:type="auto"/>
          </w:tcPr>
          <w:p w14:paraId="36E32A3F" w14:textId="77777777" w:rsidR="006D5D4C" w:rsidRDefault="006D5D4C"/>
        </w:tc>
        <w:tc>
          <w:tcPr>
            <w:tcW w:w="0" w:type="auto"/>
          </w:tcPr>
          <w:p w14:paraId="43D88A7A" w14:textId="77777777" w:rsidR="006D5D4C" w:rsidRDefault="006D5D4C"/>
        </w:tc>
      </w:tr>
      <w:tr w:rsidR="006D5D4C" w14:paraId="6A54E3DC" w14:textId="77777777" w:rsidTr="00711EA7">
        <w:tc>
          <w:tcPr>
            <w:tcW w:w="0" w:type="auto"/>
            <w:vMerge w:val="restart"/>
          </w:tcPr>
          <w:p w14:paraId="660FB96F" w14:textId="77777777" w:rsidR="006D5D4C" w:rsidRDefault="0023703A">
            <w:r>
              <w:t>Nacionalinės, regiono ar vietos valdžios institucijos</w:t>
            </w:r>
          </w:p>
        </w:tc>
        <w:tc>
          <w:tcPr>
            <w:tcW w:w="0" w:type="auto"/>
          </w:tcPr>
          <w:p w14:paraId="0449CF5D" w14:textId="77777777" w:rsidR="006D5D4C" w:rsidRDefault="0023703A">
            <w:r>
              <w:t xml:space="preserve">Nacionalinės </w:t>
            </w:r>
          </w:p>
        </w:tc>
        <w:tc>
          <w:tcPr>
            <w:tcW w:w="0" w:type="auto"/>
          </w:tcPr>
          <w:p w14:paraId="1EA4D5D0" w14:textId="77777777" w:rsidR="006D5D4C" w:rsidRDefault="006D5D4C"/>
        </w:tc>
        <w:tc>
          <w:tcPr>
            <w:tcW w:w="0" w:type="auto"/>
          </w:tcPr>
          <w:p w14:paraId="34AB5ACA" w14:textId="77777777" w:rsidR="006D5D4C" w:rsidRDefault="006D5D4C"/>
        </w:tc>
        <w:tc>
          <w:tcPr>
            <w:tcW w:w="0" w:type="auto"/>
          </w:tcPr>
          <w:p w14:paraId="6038E1B1" w14:textId="77777777" w:rsidR="006D5D4C" w:rsidRDefault="006D5D4C"/>
        </w:tc>
        <w:tc>
          <w:tcPr>
            <w:tcW w:w="0" w:type="auto"/>
          </w:tcPr>
          <w:p w14:paraId="01372430" w14:textId="77777777" w:rsidR="006D5D4C" w:rsidRDefault="006D5D4C"/>
        </w:tc>
        <w:tc>
          <w:tcPr>
            <w:tcW w:w="0" w:type="auto"/>
          </w:tcPr>
          <w:p w14:paraId="3B73F398" w14:textId="77777777" w:rsidR="006D5D4C" w:rsidRDefault="006D5D4C"/>
        </w:tc>
      </w:tr>
      <w:tr w:rsidR="006D5D4C" w14:paraId="15B22873" w14:textId="77777777" w:rsidTr="00711EA7">
        <w:tc>
          <w:tcPr>
            <w:tcW w:w="0" w:type="auto"/>
            <w:vMerge/>
          </w:tcPr>
          <w:p w14:paraId="55B66BD4" w14:textId="77777777" w:rsidR="006D5D4C" w:rsidRDefault="006D5D4C"/>
        </w:tc>
        <w:tc>
          <w:tcPr>
            <w:tcW w:w="0" w:type="auto"/>
          </w:tcPr>
          <w:p w14:paraId="525375FD" w14:textId="77777777" w:rsidR="006D5D4C" w:rsidRDefault="0023703A">
            <w:r>
              <w:t>Regioninės</w:t>
            </w:r>
          </w:p>
        </w:tc>
        <w:tc>
          <w:tcPr>
            <w:tcW w:w="0" w:type="auto"/>
          </w:tcPr>
          <w:p w14:paraId="66E239CF" w14:textId="77777777" w:rsidR="006D5D4C" w:rsidRDefault="006D5D4C"/>
        </w:tc>
        <w:tc>
          <w:tcPr>
            <w:tcW w:w="0" w:type="auto"/>
          </w:tcPr>
          <w:p w14:paraId="0FD09E4F" w14:textId="77777777" w:rsidR="006D5D4C" w:rsidRDefault="006D5D4C"/>
        </w:tc>
        <w:tc>
          <w:tcPr>
            <w:tcW w:w="0" w:type="auto"/>
          </w:tcPr>
          <w:p w14:paraId="6708D5BF" w14:textId="77777777" w:rsidR="006D5D4C" w:rsidRDefault="006D5D4C"/>
        </w:tc>
        <w:tc>
          <w:tcPr>
            <w:tcW w:w="0" w:type="auto"/>
          </w:tcPr>
          <w:p w14:paraId="58FCDB93" w14:textId="77777777" w:rsidR="006D5D4C" w:rsidRDefault="006D5D4C"/>
        </w:tc>
        <w:tc>
          <w:tcPr>
            <w:tcW w:w="0" w:type="auto"/>
          </w:tcPr>
          <w:p w14:paraId="77807269" w14:textId="77777777" w:rsidR="006D5D4C" w:rsidRDefault="006D5D4C"/>
        </w:tc>
      </w:tr>
      <w:tr w:rsidR="006D5D4C" w14:paraId="3587D7CD" w14:textId="77777777" w:rsidTr="00711EA7">
        <w:tc>
          <w:tcPr>
            <w:tcW w:w="0" w:type="auto"/>
            <w:vMerge/>
          </w:tcPr>
          <w:p w14:paraId="6EC67275" w14:textId="77777777" w:rsidR="006D5D4C" w:rsidRDefault="006D5D4C"/>
        </w:tc>
        <w:tc>
          <w:tcPr>
            <w:tcW w:w="0" w:type="auto"/>
          </w:tcPr>
          <w:p w14:paraId="4E21D290" w14:textId="77777777" w:rsidR="006D5D4C" w:rsidRDefault="0023703A">
            <w:r>
              <w:t>Vietos</w:t>
            </w:r>
          </w:p>
        </w:tc>
        <w:tc>
          <w:tcPr>
            <w:tcW w:w="0" w:type="auto"/>
          </w:tcPr>
          <w:p w14:paraId="0297B30F" w14:textId="77777777" w:rsidR="006D5D4C" w:rsidRDefault="006D5D4C"/>
        </w:tc>
        <w:tc>
          <w:tcPr>
            <w:tcW w:w="0" w:type="auto"/>
          </w:tcPr>
          <w:p w14:paraId="10BD0AA3" w14:textId="77777777" w:rsidR="006D5D4C" w:rsidRDefault="006D5D4C"/>
        </w:tc>
        <w:tc>
          <w:tcPr>
            <w:tcW w:w="0" w:type="auto"/>
          </w:tcPr>
          <w:p w14:paraId="26E21594" w14:textId="77777777" w:rsidR="006D5D4C" w:rsidRDefault="006D5D4C"/>
        </w:tc>
        <w:tc>
          <w:tcPr>
            <w:tcW w:w="0" w:type="auto"/>
          </w:tcPr>
          <w:p w14:paraId="4A629ABE" w14:textId="77777777" w:rsidR="006D5D4C" w:rsidRDefault="006D5D4C"/>
        </w:tc>
        <w:tc>
          <w:tcPr>
            <w:tcW w:w="0" w:type="auto"/>
          </w:tcPr>
          <w:p w14:paraId="43D74BE8" w14:textId="77777777" w:rsidR="006D5D4C" w:rsidRDefault="006D5D4C"/>
        </w:tc>
      </w:tr>
      <w:tr w:rsidR="006D5D4C" w14:paraId="1DDE96D4" w14:textId="77777777" w:rsidTr="00711EA7">
        <w:tc>
          <w:tcPr>
            <w:tcW w:w="0" w:type="auto"/>
            <w:vMerge w:val="restart"/>
          </w:tcPr>
          <w:p w14:paraId="5C6BBA1D" w14:textId="77777777" w:rsidR="006D5D4C" w:rsidRDefault="0023703A">
            <w:r>
              <w:t>ES lygmuo</w:t>
            </w:r>
          </w:p>
        </w:tc>
        <w:tc>
          <w:tcPr>
            <w:tcW w:w="0" w:type="auto"/>
          </w:tcPr>
          <w:p w14:paraId="2BCFD84F" w14:textId="77777777" w:rsidR="006D5D4C" w:rsidRDefault="0023703A">
            <w:r>
              <w:t xml:space="preserve">ES agentūra </w:t>
            </w:r>
          </w:p>
        </w:tc>
        <w:tc>
          <w:tcPr>
            <w:tcW w:w="0" w:type="auto"/>
          </w:tcPr>
          <w:p w14:paraId="5FAA0625" w14:textId="77777777" w:rsidR="006D5D4C" w:rsidRDefault="006D5D4C"/>
        </w:tc>
        <w:tc>
          <w:tcPr>
            <w:tcW w:w="0" w:type="auto"/>
          </w:tcPr>
          <w:p w14:paraId="18BAA32B" w14:textId="77777777" w:rsidR="006D5D4C" w:rsidRDefault="006D5D4C"/>
        </w:tc>
        <w:tc>
          <w:tcPr>
            <w:tcW w:w="0" w:type="auto"/>
          </w:tcPr>
          <w:p w14:paraId="1C16093A" w14:textId="77777777" w:rsidR="006D5D4C" w:rsidRDefault="006D5D4C"/>
        </w:tc>
        <w:tc>
          <w:tcPr>
            <w:tcW w:w="0" w:type="auto"/>
          </w:tcPr>
          <w:p w14:paraId="146CC6FF" w14:textId="77777777" w:rsidR="006D5D4C" w:rsidRDefault="006D5D4C"/>
        </w:tc>
        <w:tc>
          <w:tcPr>
            <w:tcW w:w="0" w:type="auto"/>
          </w:tcPr>
          <w:p w14:paraId="2C1ADEB5" w14:textId="77777777" w:rsidR="006D5D4C" w:rsidRDefault="006D5D4C"/>
        </w:tc>
      </w:tr>
      <w:tr w:rsidR="006D5D4C" w14:paraId="660D5A57" w14:textId="77777777" w:rsidTr="00711EA7">
        <w:tc>
          <w:tcPr>
            <w:tcW w:w="0" w:type="auto"/>
            <w:vMerge/>
          </w:tcPr>
          <w:p w14:paraId="7F4D0B05" w14:textId="77777777" w:rsidR="006D5D4C" w:rsidRDefault="006D5D4C"/>
        </w:tc>
        <w:tc>
          <w:tcPr>
            <w:tcW w:w="0" w:type="auto"/>
          </w:tcPr>
          <w:p w14:paraId="49ACAE02" w14:textId="6BE60053" w:rsidR="006D5D4C" w:rsidRDefault="0023703A">
            <w:r>
              <w:t>Europos Komisija</w:t>
            </w:r>
          </w:p>
        </w:tc>
        <w:tc>
          <w:tcPr>
            <w:tcW w:w="0" w:type="auto"/>
          </w:tcPr>
          <w:p w14:paraId="009C71D9" w14:textId="77777777" w:rsidR="006D5D4C" w:rsidRDefault="006D5D4C"/>
        </w:tc>
        <w:tc>
          <w:tcPr>
            <w:tcW w:w="0" w:type="auto"/>
          </w:tcPr>
          <w:p w14:paraId="0CC8539F" w14:textId="77777777" w:rsidR="006D5D4C" w:rsidRDefault="006D5D4C"/>
        </w:tc>
        <w:tc>
          <w:tcPr>
            <w:tcW w:w="0" w:type="auto"/>
          </w:tcPr>
          <w:p w14:paraId="41B85785" w14:textId="77777777" w:rsidR="006D5D4C" w:rsidRDefault="006D5D4C"/>
        </w:tc>
        <w:tc>
          <w:tcPr>
            <w:tcW w:w="0" w:type="auto"/>
          </w:tcPr>
          <w:p w14:paraId="5802610E" w14:textId="77777777" w:rsidR="006D5D4C" w:rsidRDefault="006D5D4C"/>
        </w:tc>
        <w:tc>
          <w:tcPr>
            <w:tcW w:w="0" w:type="auto"/>
          </w:tcPr>
          <w:p w14:paraId="6E524AD2" w14:textId="77777777" w:rsidR="006D5D4C" w:rsidRDefault="006D5D4C"/>
        </w:tc>
      </w:tr>
    </w:tbl>
    <w:p w14:paraId="4DEC6188" w14:textId="63B9A2F5" w:rsidR="006D5D4C" w:rsidRDefault="001A2072">
      <w:r>
        <w:t>Kita (nurodykite) (ne daugiau kaip 100 ženklų)</w:t>
      </w:r>
    </w:p>
    <w:tbl>
      <w:tblPr>
        <w:tblStyle w:val="TableGrid"/>
        <w:tblW w:w="0" w:type="auto"/>
        <w:tblLook w:val="04A0" w:firstRow="1" w:lastRow="0" w:firstColumn="1" w:lastColumn="0" w:noHBand="0" w:noVBand="1"/>
      </w:tblPr>
      <w:tblGrid>
        <w:gridCol w:w="8720"/>
      </w:tblGrid>
      <w:tr w:rsidR="006D5D4C" w14:paraId="7750BD7D" w14:textId="77777777" w:rsidTr="00B42918">
        <w:tc>
          <w:tcPr>
            <w:tcW w:w="8720" w:type="dxa"/>
          </w:tcPr>
          <w:p w14:paraId="59F71796" w14:textId="77777777" w:rsidR="006D5D4C" w:rsidRDefault="006D5D4C"/>
        </w:tc>
      </w:tr>
    </w:tbl>
    <w:p w14:paraId="63AD6C0A" w14:textId="0D62E800" w:rsidR="006D5D4C" w:rsidRDefault="006D5D4C"/>
    <w:p w14:paraId="40CDC8C3" w14:textId="77777777" w:rsidR="006D5D4C" w:rsidRDefault="006B1A9E">
      <w:r>
        <w:lastRenderedPageBreak/>
        <w:t>Nė vienas iš pirmiau nurodytų, neieškau informacijos apie endokrininę sistemą ardančias medžiagas</w:t>
      </w:r>
    </w:p>
    <w:p w14:paraId="266AEEF7" w14:textId="77777777" w:rsidR="006D5D4C" w:rsidRDefault="006D5D4C"/>
    <w:p w14:paraId="55F1D13C" w14:textId="4CA9FDF8" w:rsidR="006D5D4C" w:rsidRDefault="006C5F38">
      <w:pPr>
        <w:pStyle w:val="ListParagraph"/>
        <w:numPr>
          <w:ilvl w:val="0"/>
          <w:numId w:val="36"/>
        </w:numPr>
      </w:pPr>
      <w:r>
        <w:t>Kiek jūsų turima informacija padeda jūsų įmonei laikytis teisinių reikalavimų dėl endokrininę sistemą ardančių medžiagų?</w:t>
      </w:r>
      <w:r>
        <w:cr/>
      </w:r>
      <w:r>
        <w:br/>
      </w:r>
    </w:p>
    <w:tbl>
      <w:tblPr>
        <w:tblStyle w:val="TableGrid"/>
        <w:tblW w:w="0" w:type="auto"/>
        <w:tblLook w:val="04A0" w:firstRow="1" w:lastRow="0" w:firstColumn="1" w:lastColumn="0" w:noHBand="0" w:noVBand="1"/>
      </w:tblPr>
      <w:tblGrid>
        <w:gridCol w:w="6771"/>
        <w:gridCol w:w="1949"/>
      </w:tblGrid>
      <w:tr w:rsidR="006D5D4C" w14:paraId="5AF30903" w14:textId="77777777" w:rsidTr="00CA2ABD">
        <w:tc>
          <w:tcPr>
            <w:tcW w:w="6771" w:type="dxa"/>
          </w:tcPr>
          <w:p w14:paraId="38F4C696" w14:textId="75BA7EBA" w:rsidR="006D5D4C" w:rsidRDefault="006C5F38">
            <w:r>
              <w:t>Visiškai nepadeda</w:t>
            </w:r>
          </w:p>
        </w:tc>
        <w:tc>
          <w:tcPr>
            <w:tcW w:w="1949" w:type="dxa"/>
          </w:tcPr>
          <w:p w14:paraId="21732F87" w14:textId="77777777" w:rsidR="006D5D4C" w:rsidRDefault="006D5D4C"/>
        </w:tc>
      </w:tr>
      <w:tr w:rsidR="006D5D4C" w14:paraId="3C8A7F7A" w14:textId="77777777" w:rsidTr="00CA2ABD">
        <w:tc>
          <w:tcPr>
            <w:tcW w:w="6771" w:type="dxa"/>
          </w:tcPr>
          <w:p w14:paraId="38AD900E" w14:textId="1F510C0B" w:rsidR="006D5D4C" w:rsidRDefault="006C5F38">
            <w:r>
              <w:t>Šiek tiek padeda</w:t>
            </w:r>
          </w:p>
        </w:tc>
        <w:tc>
          <w:tcPr>
            <w:tcW w:w="1949" w:type="dxa"/>
          </w:tcPr>
          <w:p w14:paraId="757C4C5D" w14:textId="77777777" w:rsidR="006D5D4C" w:rsidRDefault="006D5D4C"/>
        </w:tc>
      </w:tr>
      <w:tr w:rsidR="006D5D4C" w14:paraId="58FE4DAE" w14:textId="77777777" w:rsidTr="00CA2ABD">
        <w:tc>
          <w:tcPr>
            <w:tcW w:w="6771" w:type="dxa"/>
          </w:tcPr>
          <w:p w14:paraId="2849302E" w14:textId="6AA70C5B" w:rsidR="006D5D4C" w:rsidRDefault="006C5F38">
            <w:r>
              <w:t>Labai padeda</w:t>
            </w:r>
          </w:p>
        </w:tc>
        <w:tc>
          <w:tcPr>
            <w:tcW w:w="1949" w:type="dxa"/>
          </w:tcPr>
          <w:p w14:paraId="1ACA2BC8" w14:textId="77777777" w:rsidR="006D5D4C" w:rsidRDefault="006D5D4C"/>
        </w:tc>
      </w:tr>
      <w:tr w:rsidR="006D5D4C" w14:paraId="32FFEA29" w14:textId="77777777" w:rsidTr="00CA2ABD">
        <w:tc>
          <w:tcPr>
            <w:tcW w:w="6771" w:type="dxa"/>
          </w:tcPr>
          <w:p w14:paraId="2EF6E4A1" w14:textId="3B8D5F33" w:rsidR="006D5D4C" w:rsidDel="00315509" w:rsidRDefault="006C5F38">
            <w:r>
              <w:t>Visapusiškai padeda</w:t>
            </w:r>
          </w:p>
        </w:tc>
        <w:tc>
          <w:tcPr>
            <w:tcW w:w="1949" w:type="dxa"/>
          </w:tcPr>
          <w:p w14:paraId="50ADB4DA" w14:textId="77777777" w:rsidR="006D5D4C" w:rsidRDefault="006D5D4C"/>
        </w:tc>
      </w:tr>
    </w:tbl>
    <w:p w14:paraId="409602AF" w14:textId="77777777" w:rsidR="006D5D4C" w:rsidRDefault="006D5D4C"/>
    <w:p w14:paraId="7DDFE72F" w14:textId="08F8BD2C" w:rsidR="006D5D4C" w:rsidRDefault="005429D9">
      <w:pPr>
        <w:rPr>
          <w:b/>
        </w:rPr>
      </w:pPr>
      <w:r>
        <w:rPr>
          <w:b/>
        </w:rPr>
        <w:t>Endokrininę sistemą ardančių medžiagų identifikavimo, vertinimo ir valdymo reguliavimo metodai</w:t>
      </w:r>
      <w:r>
        <w:rPr>
          <w:b/>
        </w:rPr>
        <w:cr/>
      </w:r>
      <w:r>
        <w:rPr>
          <w:b/>
        </w:rPr>
        <w:br/>
        <w:t xml:space="preserve"> </w:t>
      </w:r>
    </w:p>
    <w:p w14:paraId="5C9B9A20" w14:textId="36CC3527" w:rsidR="006D5D4C" w:rsidRDefault="005429D9">
      <w:pPr>
        <w:jc w:val="both"/>
        <w:rPr>
          <w:rFonts w:cs="Arial"/>
          <w:color w:val="000000" w:themeColor="text1"/>
        </w:rPr>
      </w:pPr>
      <w:r>
        <w:t>Neseniai Europos Komisija paskelbė medžiagų endokrininės sistemos ardomųjų savybių nustatymo kriterijus pagal:</w:t>
      </w:r>
      <w:r>
        <w:cr/>
      </w:r>
      <w:r>
        <w:br/>
      </w:r>
    </w:p>
    <w:p w14:paraId="244D30BB" w14:textId="08EA614D" w:rsidR="006D5D4C" w:rsidRDefault="005429D9">
      <w:pPr>
        <w:pStyle w:val="ListParagraph"/>
        <w:numPr>
          <w:ilvl w:val="0"/>
          <w:numId w:val="48"/>
        </w:numPr>
        <w:jc w:val="both"/>
        <w:rPr>
          <w:rFonts w:cs="Arial"/>
          <w:color w:val="000000" w:themeColor="text1"/>
        </w:rPr>
      </w:pPr>
      <w:r>
        <w:t xml:space="preserve">Biocidinių produktų reglamentą (ES) 2017/2100 ir </w:t>
      </w:r>
    </w:p>
    <w:p w14:paraId="2A9378BD" w14:textId="22A371FC" w:rsidR="006D5D4C" w:rsidRDefault="005429D9">
      <w:pPr>
        <w:pStyle w:val="ListParagraph"/>
        <w:numPr>
          <w:ilvl w:val="0"/>
          <w:numId w:val="48"/>
        </w:numPr>
        <w:jc w:val="both"/>
        <w:rPr>
          <w:rFonts w:cs="Arial"/>
          <w:color w:val="000000" w:themeColor="text1"/>
        </w:rPr>
      </w:pPr>
      <w:r>
        <w:t>Augalų apsaugos produktų reglamentą (ES) 2018/605</w:t>
      </w:r>
    </w:p>
    <w:p w14:paraId="535CFEA3" w14:textId="505FC836" w:rsidR="006D5D4C" w:rsidRDefault="00E8736D">
      <w:pPr>
        <w:ind w:left="405"/>
        <w:jc w:val="both"/>
        <w:rPr>
          <w:rFonts w:cs="Arial"/>
          <w:color w:val="000000" w:themeColor="text1"/>
        </w:rPr>
      </w:pPr>
      <w:r>
        <w:t>Abu yra pagrįsti PSO apibrėžtimi</w:t>
      </w:r>
      <w:r>
        <w:rPr>
          <w:rStyle w:val="FootnoteReference"/>
          <w:rFonts w:cs="Arial"/>
        </w:rPr>
        <w:footnoteReference w:id="10"/>
      </w:r>
      <w:r>
        <w:t>.   Kituose ES teisės aktuose, susijusiuose su žmonių sveikatos ir aplinkos apsauga nuo pagamintų cheminių medžiagų, tokių kriterijų nėra nustatyta.</w:t>
      </w:r>
      <w:r>
        <w:cr/>
      </w:r>
      <w:r>
        <w:br/>
        <w:t xml:space="preserve"> Ar tai, kad cheminių medžiagų kontrolės teisės aktuose, išskyrus pesticidus ir biocidus, nėra endokrininę sistemą ardančių medžiagų identifikavimo kriterijų, kelia problemų identifikuojant endokrininę sistemą ardančias medžiagas?  </w:t>
      </w:r>
    </w:p>
    <w:p w14:paraId="31A1A6FB" w14:textId="0D44D119" w:rsidR="006D5D4C" w:rsidRDefault="004A22D0">
      <w:pPr>
        <w:pStyle w:val="ListParagraph"/>
        <w:numPr>
          <w:ilvl w:val="0"/>
          <w:numId w:val="22"/>
        </w:numPr>
        <w:spacing w:after="200" w:line="276" w:lineRule="auto"/>
        <w:contextualSpacing/>
        <w:rPr>
          <w:rFonts w:cs="Arial"/>
          <w:color w:val="000000" w:themeColor="text1"/>
        </w:rPr>
      </w:pPr>
      <w:r>
        <w:t>Tai svarbi problema, dėl kurios endokrininę sistemą ardančios medžiagos identifikuojamos nenuosekliai</w:t>
      </w:r>
      <w:r>
        <w:cr/>
      </w:r>
      <w:r>
        <w:br/>
      </w:r>
    </w:p>
    <w:p w14:paraId="216CC10A" w14:textId="0892F7FC" w:rsidR="006D5D4C" w:rsidRDefault="004A22D0">
      <w:pPr>
        <w:pStyle w:val="ListParagraph"/>
        <w:numPr>
          <w:ilvl w:val="0"/>
          <w:numId w:val="22"/>
        </w:numPr>
        <w:spacing w:after="200" w:line="276" w:lineRule="auto"/>
        <w:contextualSpacing/>
        <w:jc w:val="both"/>
        <w:rPr>
          <w:rFonts w:cs="Arial"/>
          <w:color w:val="000000" w:themeColor="text1"/>
        </w:rPr>
      </w:pPr>
      <w:r>
        <w:t>Tai nėra problema, kriterijai turėtų būti skirti konkrečiam sektoriui</w:t>
      </w:r>
      <w:r>
        <w:cr/>
      </w:r>
      <w:r>
        <w:br/>
      </w:r>
    </w:p>
    <w:p w14:paraId="48F06273" w14:textId="0376C499" w:rsidR="006D5D4C" w:rsidRDefault="00E8736D">
      <w:pPr>
        <w:pStyle w:val="ListParagraph"/>
        <w:numPr>
          <w:ilvl w:val="0"/>
          <w:numId w:val="22"/>
        </w:numPr>
        <w:spacing w:after="200" w:line="276" w:lineRule="auto"/>
        <w:contextualSpacing/>
        <w:jc w:val="both"/>
        <w:rPr>
          <w:rFonts w:cs="Arial"/>
          <w:color w:val="000000" w:themeColor="text1"/>
        </w:rPr>
      </w:pPr>
      <w:r>
        <w:t>Nežinau</w:t>
      </w:r>
    </w:p>
    <w:p w14:paraId="64365307" w14:textId="31ED5083" w:rsidR="006D5D4C" w:rsidRDefault="004A22D0">
      <w:pPr>
        <w:jc w:val="both"/>
        <w:rPr>
          <w:rFonts w:cs="Arial"/>
          <w:color w:val="000000" w:themeColor="text1"/>
        </w:rPr>
      </w:pPr>
      <w:r>
        <w:lastRenderedPageBreak/>
        <w:t>Paaiškinkite savo atsakymą; nurodykite sektorių (-ius), kuriame (-iuose) kyla minėta problema (ne daugiau kaip 1000 ženklų)</w:t>
      </w:r>
    </w:p>
    <w:tbl>
      <w:tblPr>
        <w:tblStyle w:val="TableGrid"/>
        <w:tblW w:w="0" w:type="auto"/>
        <w:tblLook w:val="04A0" w:firstRow="1" w:lastRow="0" w:firstColumn="1" w:lastColumn="0" w:noHBand="0" w:noVBand="1"/>
      </w:tblPr>
      <w:tblGrid>
        <w:gridCol w:w="8720"/>
      </w:tblGrid>
      <w:tr w:rsidR="006D5D4C" w14:paraId="38A5527A" w14:textId="77777777" w:rsidTr="00E8736D">
        <w:tc>
          <w:tcPr>
            <w:tcW w:w="8720" w:type="dxa"/>
          </w:tcPr>
          <w:p w14:paraId="05F239F0" w14:textId="77777777" w:rsidR="006D5D4C" w:rsidRDefault="006D5D4C">
            <w:pPr>
              <w:jc w:val="both"/>
              <w:rPr>
                <w:rFonts w:cs="Arial"/>
                <w:color w:val="000000" w:themeColor="text1"/>
              </w:rPr>
            </w:pPr>
          </w:p>
        </w:tc>
      </w:tr>
    </w:tbl>
    <w:p w14:paraId="783692C5" w14:textId="77777777" w:rsidR="006D5D4C" w:rsidRDefault="006D5D4C">
      <w:pPr>
        <w:jc w:val="both"/>
        <w:rPr>
          <w:rFonts w:cs="Arial"/>
          <w:color w:val="000000" w:themeColor="text1"/>
        </w:rPr>
      </w:pPr>
    </w:p>
    <w:p w14:paraId="7217A233" w14:textId="1292E18F" w:rsidR="006D5D4C" w:rsidRDefault="006D5D4C">
      <w:pPr>
        <w:pStyle w:val="ListParagraph"/>
        <w:spacing w:after="200" w:line="276" w:lineRule="auto"/>
        <w:ind w:left="1080"/>
        <w:contextualSpacing/>
        <w:jc w:val="both"/>
        <w:rPr>
          <w:rFonts w:cs="Arial"/>
          <w:color w:val="000000" w:themeColor="text1"/>
        </w:rPr>
      </w:pPr>
    </w:p>
    <w:p w14:paraId="32B9EEAF" w14:textId="77777777" w:rsidR="006D5D4C" w:rsidRDefault="006D5D4C">
      <w:pPr>
        <w:spacing w:after="120"/>
        <w:rPr>
          <w:rFonts w:cs="Arial"/>
          <w:color w:val="000000" w:themeColor="text1"/>
        </w:rPr>
      </w:pPr>
    </w:p>
    <w:p w14:paraId="43CEFCD5" w14:textId="5E470A97" w:rsidR="006D5D4C" w:rsidRDefault="005429D9">
      <w:pPr>
        <w:spacing w:after="120"/>
        <w:rPr>
          <w:rFonts w:cs="Arial"/>
          <w:color w:val="000000" w:themeColor="text1"/>
        </w:rPr>
      </w:pPr>
      <w:r>
        <w:t>Reglamente dėl cheminių medžiagų ir mišinių klasifikavimo, ženklinimo ir pakavimo (</w:t>
      </w:r>
      <w:r w:rsidR="00B93BD5" w:rsidRPr="00B93BD5">
        <w:t>KŽP</w:t>
      </w:r>
      <w:bookmarkStart w:id="0" w:name="_GoBack"/>
      <w:bookmarkEnd w:id="0"/>
      <w:r>
        <w:t>) ((EB) Nr. 1272/2008) arba Pasaulinėje suderintoje cheminių medžiagų klasifikavimo ir ženklinimo sistemoje (GHS) nustatytos pavojingų cheminių medžiagų klasifikavimo ir ženklinimo taisyklės, grindžiamos jų keliamu fiziniu pavojumi, pavojumi sveikatai ar aplinkai.</w:t>
      </w:r>
      <w:r>
        <w:cr/>
      </w:r>
      <w:r>
        <w:br/>
      </w:r>
    </w:p>
    <w:p w14:paraId="54BED3E9" w14:textId="77777777" w:rsidR="006D5D4C" w:rsidRDefault="004A22D0">
      <w:pPr>
        <w:pStyle w:val="ListParagraph"/>
        <w:numPr>
          <w:ilvl w:val="0"/>
          <w:numId w:val="23"/>
        </w:numPr>
        <w:spacing w:after="200" w:line="276" w:lineRule="auto"/>
        <w:contextualSpacing/>
        <w:rPr>
          <w:rFonts w:cs="Arial"/>
          <w:color w:val="000000" w:themeColor="text1"/>
        </w:rPr>
      </w:pPr>
      <w:r>
        <w:t xml:space="preserve">Ar manote, kad tai, jog KŽP reglamente ir (arba) GHS nėra pavojaus kategorijos, apimančios endokrininės sistemos ardomąsias  savybes, kelia problemų siekiant nuoseklaus endokrininę sistemą ardančių medžiagų </w:t>
      </w:r>
      <w:r>
        <w:rPr>
          <w:b/>
        </w:rPr>
        <w:t>identifikavimo</w:t>
      </w:r>
      <w:r>
        <w:t>?</w:t>
      </w:r>
      <w:r>
        <w:cr/>
      </w:r>
      <w:r>
        <w:br/>
        <w:t xml:space="preserve">  </w:t>
      </w:r>
    </w:p>
    <w:p w14:paraId="37D46F88" w14:textId="77777777" w:rsidR="006D5D4C" w:rsidRDefault="004A22D0">
      <w:pPr>
        <w:pStyle w:val="ListParagraph"/>
        <w:numPr>
          <w:ilvl w:val="0"/>
          <w:numId w:val="45"/>
        </w:numPr>
        <w:spacing w:after="200" w:line="276" w:lineRule="auto"/>
        <w:contextualSpacing/>
        <w:jc w:val="both"/>
        <w:rPr>
          <w:rFonts w:cs="Arial"/>
          <w:color w:val="000000" w:themeColor="text1"/>
        </w:rPr>
      </w:pPr>
      <w:r>
        <w:t>Taip</w:t>
      </w:r>
    </w:p>
    <w:p w14:paraId="6BC77EBC" w14:textId="77777777" w:rsidR="006D5D4C" w:rsidRDefault="004A22D0">
      <w:pPr>
        <w:pStyle w:val="ListParagraph"/>
        <w:numPr>
          <w:ilvl w:val="0"/>
          <w:numId w:val="45"/>
        </w:numPr>
        <w:spacing w:after="200" w:line="276" w:lineRule="auto"/>
        <w:contextualSpacing/>
        <w:jc w:val="both"/>
        <w:rPr>
          <w:rFonts w:cs="Arial"/>
          <w:color w:val="000000" w:themeColor="text1"/>
        </w:rPr>
      </w:pPr>
      <w:r>
        <w:t>Ne</w:t>
      </w:r>
    </w:p>
    <w:p w14:paraId="5F55D354" w14:textId="7F08EF6E" w:rsidR="006D5D4C" w:rsidRDefault="004A22D0">
      <w:pPr>
        <w:pStyle w:val="ListParagraph"/>
        <w:numPr>
          <w:ilvl w:val="0"/>
          <w:numId w:val="23"/>
        </w:numPr>
        <w:spacing w:after="200" w:line="276" w:lineRule="auto"/>
        <w:contextualSpacing/>
        <w:jc w:val="both"/>
        <w:rPr>
          <w:rFonts w:cs="Arial"/>
          <w:color w:val="000000" w:themeColor="text1"/>
        </w:rPr>
      </w:pPr>
      <w:r>
        <w:t xml:space="preserve">Ar manote, kad tai, jog KŽP reglamente ir (arba) GHS nėra pavojaus kategorijos, apimančios endokrininės sistemos ardomąsias savybes, kelia problemų siekiant nuoseklaus endokrininę sistemą ardančių  medžiagų </w:t>
      </w:r>
      <w:r>
        <w:rPr>
          <w:b/>
        </w:rPr>
        <w:t>keliamos rizikos valdymo</w:t>
      </w:r>
      <w:r>
        <w:t>?</w:t>
      </w:r>
    </w:p>
    <w:p w14:paraId="7A99200B" w14:textId="77777777" w:rsidR="006D5D4C" w:rsidRDefault="004A22D0">
      <w:pPr>
        <w:pStyle w:val="ListParagraph"/>
        <w:numPr>
          <w:ilvl w:val="0"/>
          <w:numId w:val="46"/>
        </w:numPr>
        <w:spacing w:after="200" w:line="276" w:lineRule="auto"/>
        <w:contextualSpacing/>
        <w:jc w:val="both"/>
        <w:rPr>
          <w:rFonts w:cs="Arial"/>
          <w:color w:val="000000" w:themeColor="text1"/>
        </w:rPr>
      </w:pPr>
      <w:r>
        <w:t>Taip</w:t>
      </w:r>
    </w:p>
    <w:p w14:paraId="5F6F40BA" w14:textId="77777777" w:rsidR="006D5D4C" w:rsidRDefault="004A22D0">
      <w:pPr>
        <w:pStyle w:val="ListParagraph"/>
        <w:numPr>
          <w:ilvl w:val="0"/>
          <w:numId w:val="46"/>
        </w:numPr>
        <w:spacing w:after="200" w:line="276" w:lineRule="auto"/>
        <w:contextualSpacing/>
        <w:jc w:val="both"/>
        <w:rPr>
          <w:rFonts w:cs="Arial"/>
          <w:color w:val="000000" w:themeColor="text1"/>
        </w:rPr>
      </w:pPr>
      <w:r>
        <w:t>Ne</w:t>
      </w:r>
    </w:p>
    <w:p w14:paraId="37828557" w14:textId="77777777" w:rsidR="006D5D4C" w:rsidRDefault="006D5D4C">
      <w:pPr>
        <w:rPr>
          <w:rFonts w:eastAsia="Times New Roman" w:cstheme="minorHAnsi"/>
        </w:rPr>
      </w:pPr>
    </w:p>
    <w:p w14:paraId="4596D846" w14:textId="30D89DB2" w:rsidR="006D5D4C" w:rsidRDefault="005429D9">
      <w:pPr>
        <w:rPr>
          <w:rFonts w:eastAsia="Times New Roman" w:cstheme="minorHAnsi"/>
        </w:rPr>
      </w:pPr>
      <w:r>
        <w:t>ES teisės aktai, kuriais reglamentuojamos cheminės medžiagos, parengti skirtingu metu ir tam tikrais atvejais jais siekiama skirtingų tikslų. Todėl endokrininę sistemą ardančios medžiagos įvairiuose sektoriuose vertinamos skirtingai.</w:t>
      </w:r>
      <w:r>
        <w:cr/>
      </w:r>
      <w:r>
        <w:br/>
        <w:t xml:space="preserve"> Dėl to kyla abejonių, ar ES teisinė sistema, kuria reglamentuojamos endokrininę sistemą ardančios medžiagos, yra pakankamai nuosekli.</w:t>
      </w:r>
      <w:r>
        <w:cr/>
      </w:r>
      <w:r>
        <w:br/>
        <w:t xml:space="preserve"> </w:t>
      </w:r>
    </w:p>
    <w:p w14:paraId="01588E59" w14:textId="1A59799C" w:rsidR="006D5D4C" w:rsidRDefault="009F205F">
      <w:pPr>
        <w:pStyle w:val="ListParagraph"/>
        <w:numPr>
          <w:ilvl w:val="0"/>
          <w:numId w:val="23"/>
        </w:numPr>
        <w:spacing w:after="200" w:line="276" w:lineRule="auto"/>
        <w:contextualSpacing/>
        <w:jc w:val="both"/>
        <w:rPr>
          <w:rFonts w:cs="Arial"/>
          <w:color w:val="000000" w:themeColor="text1"/>
        </w:rPr>
      </w:pPr>
      <w:r>
        <w:t>Ar žinote apie nenuoseklaus cheminių medžiagų traktavimo dėl jų endokrininės sistemos ardomųjų savybių ES reglamentuojamose srityse atvejus?</w:t>
      </w:r>
      <w:r>
        <w:cr/>
      </w:r>
      <w:r>
        <w:br/>
      </w:r>
    </w:p>
    <w:p w14:paraId="3D59AF05" w14:textId="77777777" w:rsidR="006D5D4C" w:rsidRDefault="009F205F">
      <w:pPr>
        <w:spacing w:after="0"/>
        <w:ind w:left="360" w:firstLine="360"/>
        <w:jc w:val="both"/>
        <w:rPr>
          <w:rFonts w:cs="Arial"/>
          <w:color w:val="000000" w:themeColor="text1"/>
        </w:rPr>
      </w:pPr>
      <w:r>
        <w:t>•</w:t>
      </w:r>
      <w:r>
        <w:tab/>
        <w:t>taip</w:t>
      </w:r>
    </w:p>
    <w:p w14:paraId="349C1F9F" w14:textId="77777777" w:rsidR="006D5D4C" w:rsidRDefault="009F205F">
      <w:pPr>
        <w:spacing w:after="0"/>
        <w:ind w:left="360" w:firstLine="360"/>
        <w:jc w:val="both"/>
        <w:rPr>
          <w:rFonts w:cs="Arial"/>
          <w:color w:val="000000" w:themeColor="text1"/>
        </w:rPr>
      </w:pPr>
      <w:r>
        <w:t>•</w:t>
      </w:r>
      <w:r>
        <w:tab/>
        <w:t>ne</w:t>
      </w:r>
    </w:p>
    <w:p w14:paraId="6475DCAB" w14:textId="488B60E6" w:rsidR="006D5D4C" w:rsidRDefault="009F205F">
      <w:pPr>
        <w:rPr>
          <w:rFonts w:cs="Arial"/>
          <w:color w:val="000000" w:themeColor="text1"/>
        </w:rPr>
      </w:pPr>
      <w:r>
        <w:lastRenderedPageBreak/>
        <w:t>Jei taip, pateikite pavyzdžių paaiškindami, kokį poveikį tai daro jūsų verslui.</w:t>
      </w:r>
      <w:r>
        <w:cr/>
      </w:r>
      <w:r>
        <w:br/>
        <w:t xml:space="preserve"> (ne daugiau kaip 1 000 ženklų)</w:t>
      </w:r>
    </w:p>
    <w:tbl>
      <w:tblPr>
        <w:tblStyle w:val="TableGrid"/>
        <w:tblW w:w="0" w:type="auto"/>
        <w:tblLook w:val="04A0" w:firstRow="1" w:lastRow="0" w:firstColumn="1" w:lastColumn="0" w:noHBand="0" w:noVBand="1"/>
      </w:tblPr>
      <w:tblGrid>
        <w:gridCol w:w="8720"/>
      </w:tblGrid>
      <w:tr w:rsidR="006D5D4C" w14:paraId="65C9B9A8" w14:textId="77777777" w:rsidTr="00E8736D">
        <w:tc>
          <w:tcPr>
            <w:tcW w:w="8720" w:type="dxa"/>
          </w:tcPr>
          <w:p w14:paraId="444352BB" w14:textId="77777777" w:rsidR="006D5D4C" w:rsidRDefault="006D5D4C">
            <w:pPr>
              <w:rPr>
                <w:b/>
              </w:rPr>
            </w:pPr>
          </w:p>
        </w:tc>
      </w:tr>
    </w:tbl>
    <w:p w14:paraId="2DFD1B68" w14:textId="77777777" w:rsidR="006D5D4C" w:rsidRDefault="006D5D4C">
      <w:pPr>
        <w:rPr>
          <w:b/>
        </w:rPr>
      </w:pPr>
    </w:p>
    <w:p w14:paraId="1D062661" w14:textId="2AD108A0" w:rsidR="006D5D4C" w:rsidRDefault="00DA01BA">
      <w:pPr>
        <w:pStyle w:val="ListParagraph"/>
        <w:numPr>
          <w:ilvl w:val="0"/>
          <w:numId w:val="23"/>
        </w:numPr>
        <w:spacing w:after="200" w:line="276" w:lineRule="auto"/>
        <w:contextualSpacing/>
        <w:jc w:val="both"/>
        <w:rPr>
          <w:rFonts w:cs="Arial"/>
          <w:color w:val="000000" w:themeColor="text1"/>
        </w:rPr>
      </w:pPr>
      <w:r>
        <w:t xml:space="preserve"> Kokio masto poveikį jūsų verslui daro ES ir kitų jurisdikcijų (pvz., JAV, Kinijos) endokrininę sistemą ardančių medžiagų reglamentavimo skirtumai?</w:t>
      </w:r>
      <w:r>
        <w:cr/>
      </w:r>
      <w:r>
        <w:br/>
        <w:t xml:space="preserve"> </w:t>
      </w:r>
    </w:p>
    <w:p w14:paraId="2DF3735A" w14:textId="54D827D6" w:rsidR="006D5D4C" w:rsidRDefault="00C54E1A">
      <w:pPr>
        <w:pStyle w:val="ListParagraph"/>
        <w:numPr>
          <w:ilvl w:val="0"/>
          <w:numId w:val="44"/>
        </w:numPr>
      </w:pPr>
      <w:r>
        <w:t>Reikšmingą poveikį</w:t>
      </w:r>
    </w:p>
    <w:p w14:paraId="66289096" w14:textId="734507DD" w:rsidR="006D5D4C" w:rsidRDefault="00C54E1A">
      <w:pPr>
        <w:pStyle w:val="ListParagraph"/>
        <w:numPr>
          <w:ilvl w:val="0"/>
          <w:numId w:val="44"/>
        </w:numPr>
      </w:pPr>
      <w:r>
        <w:t>Tam tikrą poveikį</w:t>
      </w:r>
    </w:p>
    <w:p w14:paraId="34BE9E1F" w14:textId="3A4BA13F" w:rsidR="006D5D4C" w:rsidRDefault="00C54E1A">
      <w:pPr>
        <w:pStyle w:val="ListParagraph"/>
        <w:numPr>
          <w:ilvl w:val="0"/>
          <w:numId w:val="44"/>
        </w:numPr>
      </w:pPr>
      <w:r>
        <w:t>Nedidelį poveikį</w:t>
      </w:r>
    </w:p>
    <w:p w14:paraId="3C8D0553" w14:textId="22539344" w:rsidR="006D5D4C" w:rsidRDefault="00E8736D">
      <w:pPr>
        <w:pStyle w:val="ListParagraph"/>
        <w:numPr>
          <w:ilvl w:val="0"/>
          <w:numId w:val="44"/>
        </w:numPr>
      </w:pPr>
      <w:r>
        <w:t>Nedaro jokio poveikio</w:t>
      </w:r>
    </w:p>
    <w:p w14:paraId="1A36EDC3" w14:textId="7EE08931" w:rsidR="006D5D4C" w:rsidRDefault="00B160AA">
      <w:pPr>
        <w:pStyle w:val="ListParagraph"/>
        <w:numPr>
          <w:ilvl w:val="0"/>
          <w:numId w:val="44"/>
        </w:numPr>
      </w:pPr>
      <w:r>
        <w:t>Nežinau</w:t>
      </w:r>
    </w:p>
    <w:p w14:paraId="57F48159" w14:textId="08BBFA11" w:rsidR="006D5D4C" w:rsidRDefault="008416F7">
      <w:pPr>
        <w:rPr>
          <w:rFonts w:cs="Arial"/>
          <w:color w:val="000000" w:themeColor="text1"/>
        </w:rPr>
      </w:pPr>
      <w:r>
        <w:t>Pateikite pavyzdžių, paaiškindami, kokį poveikį tai daro jūsų verslui. (ne daugiau kaip 1 000 ženklų)</w:t>
      </w:r>
    </w:p>
    <w:tbl>
      <w:tblPr>
        <w:tblStyle w:val="TableGrid"/>
        <w:tblW w:w="0" w:type="auto"/>
        <w:tblLook w:val="04A0" w:firstRow="1" w:lastRow="0" w:firstColumn="1" w:lastColumn="0" w:noHBand="0" w:noVBand="1"/>
      </w:tblPr>
      <w:tblGrid>
        <w:gridCol w:w="8720"/>
      </w:tblGrid>
      <w:tr w:rsidR="006D5D4C" w14:paraId="4AA52CA9" w14:textId="77777777" w:rsidTr="00E8736D">
        <w:tc>
          <w:tcPr>
            <w:tcW w:w="8720" w:type="dxa"/>
          </w:tcPr>
          <w:p w14:paraId="4586422A" w14:textId="77777777" w:rsidR="006D5D4C" w:rsidRDefault="006D5D4C">
            <w:pPr>
              <w:spacing w:after="120"/>
              <w:rPr>
                <w:b/>
              </w:rPr>
            </w:pPr>
          </w:p>
        </w:tc>
      </w:tr>
    </w:tbl>
    <w:p w14:paraId="6DF2B6F7" w14:textId="77777777" w:rsidR="006D5D4C" w:rsidRDefault="006D5D4C">
      <w:pPr>
        <w:spacing w:after="120"/>
        <w:rPr>
          <w:b/>
        </w:rPr>
      </w:pPr>
    </w:p>
    <w:p w14:paraId="14133A86" w14:textId="4C801418" w:rsidR="006D5D4C" w:rsidRDefault="00F103E5">
      <w:pPr>
        <w:rPr>
          <w:b/>
        </w:rPr>
      </w:pPr>
      <w:r>
        <w:rPr>
          <w:b/>
        </w:rPr>
        <w:t>Veiksmingumas siekiant politikos tikslų</w:t>
      </w:r>
    </w:p>
    <w:p w14:paraId="367AD270" w14:textId="43F839AF" w:rsidR="006D5D4C" w:rsidRDefault="00F103E5">
      <w:pPr>
        <w:jc w:val="both"/>
      </w:pPr>
      <w:r>
        <w:t>ES teisės aktais siekiama apsaugoti žmonių ir aplinkos sveikatą mažinant toksiškų medžiagų poveikį ir kartu gerinant vidaus rinkos veikimą.</w:t>
      </w:r>
      <w:r>
        <w:cr/>
      </w:r>
      <w:r>
        <w:br/>
      </w:r>
    </w:p>
    <w:p w14:paraId="46B4E5DD" w14:textId="7BD52A89" w:rsidR="006D5D4C" w:rsidRDefault="009007D2">
      <w:pPr>
        <w:pStyle w:val="ListParagraph"/>
        <w:numPr>
          <w:ilvl w:val="0"/>
          <w:numId w:val="23"/>
        </w:numPr>
        <w:spacing w:after="200" w:line="276" w:lineRule="auto"/>
        <w:contextualSpacing/>
        <w:jc w:val="both"/>
        <w:rPr>
          <w:rFonts w:cs="Arial"/>
          <w:color w:val="000000" w:themeColor="text1"/>
        </w:rPr>
      </w:pPr>
      <w:r>
        <w:t>Ar sutinkate su šiais teiginiais apie jūsų verslo sektorių?</w:t>
      </w:r>
      <w:r>
        <w:cr/>
      </w:r>
      <w:r>
        <w:br/>
      </w:r>
    </w:p>
    <w:p w14:paraId="53D993DB" w14:textId="735E77B3" w:rsidR="006D5D4C" w:rsidRDefault="000A3FE4">
      <w:pPr>
        <w:pStyle w:val="ListParagraph"/>
        <w:spacing w:after="200" w:line="276" w:lineRule="auto"/>
        <w:ind w:left="432"/>
        <w:contextualSpacing/>
        <w:jc w:val="both"/>
        <w:rPr>
          <w:rFonts w:cs="Arial"/>
          <w:color w:val="000000" w:themeColor="text1"/>
        </w:rPr>
      </w:pPr>
      <w:r>
        <w:t>Endokrininės sistemos ardomųjų savybių turinčių cheminių medžiagų identifikavimo ir kontrolės reglamentavimo procesas yra veiksmingas</w:t>
      </w:r>
      <w:r w:rsidR="00C65E88">
        <w:t xml:space="preserve"> (-a)</w:t>
      </w:r>
      <w:r>
        <w:t>:</w:t>
      </w:r>
      <w:r>
        <w:cr/>
      </w:r>
      <w:r>
        <w:br/>
      </w:r>
    </w:p>
    <w:tbl>
      <w:tblPr>
        <w:tblStyle w:val="TableGrid"/>
        <w:tblW w:w="8720" w:type="dxa"/>
        <w:tblLook w:val="04A0" w:firstRow="1" w:lastRow="0" w:firstColumn="1" w:lastColumn="0" w:noHBand="0" w:noVBand="1"/>
      </w:tblPr>
      <w:tblGrid>
        <w:gridCol w:w="2228"/>
        <w:gridCol w:w="989"/>
        <w:gridCol w:w="1133"/>
        <w:gridCol w:w="1066"/>
        <w:gridCol w:w="1410"/>
        <w:gridCol w:w="1018"/>
        <w:gridCol w:w="876"/>
      </w:tblGrid>
      <w:tr w:rsidR="006D5D4C" w14:paraId="4BA76CC1" w14:textId="6F19C2B9" w:rsidTr="004A6546">
        <w:tc>
          <w:tcPr>
            <w:tcW w:w="2267" w:type="dxa"/>
          </w:tcPr>
          <w:p w14:paraId="26ED06AA" w14:textId="77777777" w:rsidR="006D5D4C" w:rsidRDefault="006D5D4C"/>
        </w:tc>
        <w:tc>
          <w:tcPr>
            <w:tcW w:w="1007" w:type="dxa"/>
          </w:tcPr>
          <w:p w14:paraId="6E25778E" w14:textId="77777777" w:rsidR="006D5D4C" w:rsidRDefault="000A3FE4">
            <w:r>
              <w:t>1</w:t>
            </w:r>
          </w:p>
          <w:p w14:paraId="2E686D96" w14:textId="77777777" w:rsidR="006D5D4C" w:rsidRDefault="000A3FE4">
            <w:r>
              <w:rPr>
                <w:sz w:val="20"/>
                <w:szCs w:val="20"/>
              </w:rPr>
              <w:t>Visiškai sutinku</w:t>
            </w:r>
          </w:p>
        </w:tc>
        <w:tc>
          <w:tcPr>
            <w:tcW w:w="1166" w:type="dxa"/>
          </w:tcPr>
          <w:p w14:paraId="7740D5A7" w14:textId="77777777" w:rsidR="006D5D4C" w:rsidRDefault="000A3FE4">
            <w:r>
              <w:t>2</w:t>
            </w:r>
          </w:p>
          <w:p w14:paraId="0D51506C" w14:textId="77777777" w:rsidR="006D5D4C" w:rsidRDefault="000A3FE4">
            <w:r>
              <w:rPr>
                <w:sz w:val="20"/>
                <w:szCs w:val="20"/>
              </w:rPr>
              <w:t>Iš dalies sutinku</w:t>
            </w:r>
          </w:p>
        </w:tc>
        <w:tc>
          <w:tcPr>
            <w:tcW w:w="1071" w:type="dxa"/>
          </w:tcPr>
          <w:p w14:paraId="0386F02B" w14:textId="77777777" w:rsidR="006D5D4C" w:rsidRDefault="000A3FE4">
            <w:r>
              <w:t>3</w:t>
            </w:r>
          </w:p>
          <w:p w14:paraId="6AB8462F" w14:textId="77777777" w:rsidR="006D5D4C" w:rsidRDefault="000A3FE4">
            <w:r>
              <w:rPr>
                <w:sz w:val="20"/>
                <w:szCs w:val="20"/>
              </w:rPr>
              <w:t>Nei sutinku, nei nesutinku</w:t>
            </w:r>
          </w:p>
        </w:tc>
        <w:tc>
          <w:tcPr>
            <w:tcW w:w="1451" w:type="dxa"/>
          </w:tcPr>
          <w:p w14:paraId="3A696B7E" w14:textId="77777777" w:rsidR="006D5D4C" w:rsidRDefault="000A3FE4">
            <w:r>
              <w:t>4</w:t>
            </w:r>
          </w:p>
          <w:p w14:paraId="794D8242" w14:textId="77777777" w:rsidR="006D5D4C" w:rsidRDefault="000A3FE4">
            <w:r>
              <w:rPr>
                <w:sz w:val="20"/>
                <w:szCs w:val="20"/>
              </w:rPr>
              <w:t>Iš dalies nesutinku</w:t>
            </w:r>
          </w:p>
        </w:tc>
        <w:tc>
          <w:tcPr>
            <w:tcW w:w="968" w:type="dxa"/>
          </w:tcPr>
          <w:p w14:paraId="2D8B14BD" w14:textId="77777777" w:rsidR="006D5D4C" w:rsidRDefault="000A3FE4">
            <w:r>
              <w:rPr>
                <w:sz w:val="20"/>
                <w:szCs w:val="20"/>
              </w:rPr>
              <w:t>5 Visiškai nesutinku</w:t>
            </w:r>
          </w:p>
        </w:tc>
        <w:tc>
          <w:tcPr>
            <w:tcW w:w="790" w:type="dxa"/>
          </w:tcPr>
          <w:p w14:paraId="4C478F72" w14:textId="77777777" w:rsidR="006D5D4C" w:rsidRDefault="000A3FE4">
            <w:pPr>
              <w:rPr>
                <w:sz w:val="20"/>
                <w:szCs w:val="20"/>
              </w:rPr>
            </w:pPr>
            <w:r>
              <w:rPr>
                <w:sz w:val="20"/>
                <w:szCs w:val="20"/>
              </w:rPr>
              <w:t>6</w:t>
            </w:r>
          </w:p>
          <w:p w14:paraId="4A503548" w14:textId="375A560B" w:rsidR="006D5D4C" w:rsidRDefault="000A3FE4">
            <w:pPr>
              <w:rPr>
                <w:sz w:val="20"/>
                <w:szCs w:val="20"/>
              </w:rPr>
            </w:pPr>
            <w:r>
              <w:rPr>
                <w:sz w:val="20"/>
                <w:szCs w:val="20"/>
              </w:rPr>
              <w:t>Nežinau</w:t>
            </w:r>
          </w:p>
        </w:tc>
      </w:tr>
      <w:tr w:rsidR="006D5D4C" w14:paraId="2194D1FB" w14:textId="0218F196" w:rsidTr="004A6546">
        <w:tc>
          <w:tcPr>
            <w:tcW w:w="2267" w:type="dxa"/>
          </w:tcPr>
          <w:p w14:paraId="3953138F" w14:textId="28627ACF" w:rsidR="006D5D4C" w:rsidRDefault="000A3FE4">
            <w:r>
              <w:t>Vartotojų apsauga kuo labiau sumažinant endokrininę sistemą ardančių medžiagų ekspoziciją</w:t>
            </w:r>
            <w:r>
              <w:cr/>
            </w:r>
            <w:r>
              <w:br/>
            </w:r>
          </w:p>
        </w:tc>
        <w:tc>
          <w:tcPr>
            <w:tcW w:w="1007" w:type="dxa"/>
          </w:tcPr>
          <w:p w14:paraId="43223A07" w14:textId="77777777" w:rsidR="006D5D4C" w:rsidRDefault="006D5D4C"/>
        </w:tc>
        <w:tc>
          <w:tcPr>
            <w:tcW w:w="1166" w:type="dxa"/>
          </w:tcPr>
          <w:p w14:paraId="1318F9A9" w14:textId="77777777" w:rsidR="006D5D4C" w:rsidRDefault="006D5D4C"/>
        </w:tc>
        <w:tc>
          <w:tcPr>
            <w:tcW w:w="1071" w:type="dxa"/>
          </w:tcPr>
          <w:p w14:paraId="402E7713" w14:textId="77777777" w:rsidR="006D5D4C" w:rsidRDefault="006D5D4C"/>
        </w:tc>
        <w:tc>
          <w:tcPr>
            <w:tcW w:w="1451" w:type="dxa"/>
          </w:tcPr>
          <w:p w14:paraId="519AF3F6" w14:textId="77777777" w:rsidR="006D5D4C" w:rsidRDefault="006D5D4C"/>
        </w:tc>
        <w:tc>
          <w:tcPr>
            <w:tcW w:w="968" w:type="dxa"/>
          </w:tcPr>
          <w:p w14:paraId="408DF8F6" w14:textId="77777777" w:rsidR="006D5D4C" w:rsidRDefault="006D5D4C"/>
        </w:tc>
        <w:tc>
          <w:tcPr>
            <w:tcW w:w="790" w:type="dxa"/>
          </w:tcPr>
          <w:p w14:paraId="11F8C696" w14:textId="77777777" w:rsidR="006D5D4C" w:rsidRDefault="006D5D4C"/>
        </w:tc>
      </w:tr>
      <w:tr w:rsidR="006D5D4C" w14:paraId="6E95218E" w14:textId="77777777" w:rsidTr="004A6546">
        <w:tc>
          <w:tcPr>
            <w:tcW w:w="2267" w:type="dxa"/>
          </w:tcPr>
          <w:p w14:paraId="6D7131F3" w14:textId="7B1087DF" w:rsidR="006D5D4C" w:rsidRDefault="00AC26CD">
            <w:r>
              <w:t xml:space="preserve">Darbuotojų apsauga </w:t>
            </w:r>
            <w:r>
              <w:lastRenderedPageBreak/>
              <w:t xml:space="preserve">kuo labiau sumažinant endokrininę sistemą ardančių medžiagų ekspoziciją </w:t>
            </w:r>
          </w:p>
        </w:tc>
        <w:tc>
          <w:tcPr>
            <w:tcW w:w="1007" w:type="dxa"/>
          </w:tcPr>
          <w:p w14:paraId="2A9636A8" w14:textId="77777777" w:rsidR="006D5D4C" w:rsidRDefault="006D5D4C"/>
        </w:tc>
        <w:tc>
          <w:tcPr>
            <w:tcW w:w="1166" w:type="dxa"/>
          </w:tcPr>
          <w:p w14:paraId="5FBB9CC7" w14:textId="77777777" w:rsidR="006D5D4C" w:rsidRDefault="006D5D4C"/>
        </w:tc>
        <w:tc>
          <w:tcPr>
            <w:tcW w:w="1071" w:type="dxa"/>
          </w:tcPr>
          <w:p w14:paraId="3B7A5EA7" w14:textId="77777777" w:rsidR="006D5D4C" w:rsidRDefault="006D5D4C"/>
        </w:tc>
        <w:tc>
          <w:tcPr>
            <w:tcW w:w="1451" w:type="dxa"/>
          </w:tcPr>
          <w:p w14:paraId="608DF6C5" w14:textId="77777777" w:rsidR="006D5D4C" w:rsidRDefault="006D5D4C"/>
        </w:tc>
        <w:tc>
          <w:tcPr>
            <w:tcW w:w="968" w:type="dxa"/>
          </w:tcPr>
          <w:p w14:paraId="4140D60F" w14:textId="77777777" w:rsidR="006D5D4C" w:rsidRDefault="006D5D4C"/>
        </w:tc>
        <w:tc>
          <w:tcPr>
            <w:tcW w:w="790" w:type="dxa"/>
          </w:tcPr>
          <w:p w14:paraId="6F60C5E7" w14:textId="77777777" w:rsidR="006D5D4C" w:rsidRDefault="006D5D4C"/>
        </w:tc>
      </w:tr>
      <w:tr w:rsidR="006D5D4C" w14:paraId="2DEDAEA7" w14:textId="77777777" w:rsidTr="004A6546">
        <w:tc>
          <w:tcPr>
            <w:tcW w:w="2267" w:type="dxa"/>
          </w:tcPr>
          <w:p w14:paraId="5EAE9D2E" w14:textId="6BD79E8E" w:rsidR="006D5D4C" w:rsidRDefault="00E64440">
            <w:r>
              <w:t>Piliečių apsauga kuo labiau sumažinant endokrininę sistemą ardančių medžiagų ekspoziciją per aplinką</w:t>
            </w:r>
          </w:p>
        </w:tc>
        <w:tc>
          <w:tcPr>
            <w:tcW w:w="1007" w:type="dxa"/>
          </w:tcPr>
          <w:p w14:paraId="6BD0E392" w14:textId="77777777" w:rsidR="006D5D4C" w:rsidRDefault="006D5D4C"/>
        </w:tc>
        <w:tc>
          <w:tcPr>
            <w:tcW w:w="1166" w:type="dxa"/>
          </w:tcPr>
          <w:p w14:paraId="47B74D87" w14:textId="77777777" w:rsidR="006D5D4C" w:rsidRDefault="006D5D4C"/>
        </w:tc>
        <w:tc>
          <w:tcPr>
            <w:tcW w:w="1071" w:type="dxa"/>
          </w:tcPr>
          <w:p w14:paraId="5E2606B0" w14:textId="77777777" w:rsidR="006D5D4C" w:rsidRDefault="006D5D4C"/>
        </w:tc>
        <w:tc>
          <w:tcPr>
            <w:tcW w:w="1451" w:type="dxa"/>
          </w:tcPr>
          <w:p w14:paraId="73DB7530" w14:textId="77777777" w:rsidR="006D5D4C" w:rsidRDefault="006D5D4C"/>
        </w:tc>
        <w:tc>
          <w:tcPr>
            <w:tcW w:w="968" w:type="dxa"/>
          </w:tcPr>
          <w:p w14:paraId="452B97D1" w14:textId="77777777" w:rsidR="006D5D4C" w:rsidRDefault="006D5D4C"/>
        </w:tc>
        <w:tc>
          <w:tcPr>
            <w:tcW w:w="790" w:type="dxa"/>
          </w:tcPr>
          <w:p w14:paraId="346BFDA0" w14:textId="77777777" w:rsidR="006D5D4C" w:rsidRDefault="006D5D4C"/>
        </w:tc>
      </w:tr>
      <w:tr w:rsidR="006D5D4C" w14:paraId="15500347" w14:textId="0FE719BA" w:rsidTr="004A6546">
        <w:tc>
          <w:tcPr>
            <w:tcW w:w="2267" w:type="dxa"/>
          </w:tcPr>
          <w:p w14:paraId="225DAC72" w14:textId="6A48B7A6" w:rsidR="006D5D4C" w:rsidRDefault="000A3FE4">
            <w:r>
              <w:t>Laukinės gyvūnijos apsauga kuo labiau sumažinant endokrininę sistemą ardančių medžiagų ekspoziciją per aplinką</w:t>
            </w:r>
          </w:p>
        </w:tc>
        <w:tc>
          <w:tcPr>
            <w:tcW w:w="1007" w:type="dxa"/>
          </w:tcPr>
          <w:p w14:paraId="7EAD4722" w14:textId="77777777" w:rsidR="006D5D4C" w:rsidRDefault="006D5D4C"/>
        </w:tc>
        <w:tc>
          <w:tcPr>
            <w:tcW w:w="1166" w:type="dxa"/>
          </w:tcPr>
          <w:p w14:paraId="588EEC9E" w14:textId="77777777" w:rsidR="006D5D4C" w:rsidRDefault="006D5D4C"/>
        </w:tc>
        <w:tc>
          <w:tcPr>
            <w:tcW w:w="1071" w:type="dxa"/>
          </w:tcPr>
          <w:p w14:paraId="7E18609B" w14:textId="77777777" w:rsidR="006D5D4C" w:rsidRDefault="006D5D4C"/>
        </w:tc>
        <w:tc>
          <w:tcPr>
            <w:tcW w:w="1451" w:type="dxa"/>
          </w:tcPr>
          <w:p w14:paraId="083F1A24" w14:textId="77777777" w:rsidR="006D5D4C" w:rsidRDefault="006D5D4C"/>
        </w:tc>
        <w:tc>
          <w:tcPr>
            <w:tcW w:w="968" w:type="dxa"/>
          </w:tcPr>
          <w:p w14:paraId="77DA85E8" w14:textId="77777777" w:rsidR="006D5D4C" w:rsidRDefault="006D5D4C"/>
        </w:tc>
        <w:tc>
          <w:tcPr>
            <w:tcW w:w="790" w:type="dxa"/>
          </w:tcPr>
          <w:p w14:paraId="2FD2A5A6" w14:textId="77777777" w:rsidR="006D5D4C" w:rsidRDefault="006D5D4C"/>
        </w:tc>
      </w:tr>
      <w:tr w:rsidR="006D5D4C" w14:paraId="2B44E0BE" w14:textId="3F29AA2C" w:rsidTr="004A6546">
        <w:tc>
          <w:tcPr>
            <w:tcW w:w="2267" w:type="dxa"/>
          </w:tcPr>
          <w:p w14:paraId="3E5C409C" w14:textId="1D3779EF" w:rsidR="006D5D4C" w:rsidRDefault="000A3FE4">
            <w:r>
              <w:t>Vidaus rinkos veikimo gerinimas</w:t>
            </w:r>
          </w:p>
        </w:tc>
        <w:tc>
          <w:tcPr>
            <w:tcW w:w="1007" w:type="dxa"/>
          </w:tcPr>
          <w:p w14:paraId="74276561" w14:textId="77777777" w:rsidR="006D5D4C" w:rsidRDefault="006D5D4C"/>
        </w:tc>
        <w:tc>
          <w:tcPr>
            <w:tcW w:w="1166" w:type="dxa"/>
          </w:tcPr>
          <w:p w14:paraId="266929BC" w14:textId="77777777" w:rsidR="006D5D4C" w:rsidRDefault="006D5D4C"/>
        </w:tc>
        <w:tc>
          <w:tcPr>
            <w:tcW w:w="1071" w:type="dxa"/>
          </w:tcPr>
          <w:p w14:paraId="2B72CF90" w14:textId="77777777" w:rsidR="006D5D4C" w:rsidRDefault="006D5D4C"/>
        </w:tc>
        <w:tc>
          <w:tcPr>
            <w:tcW w:w="1451" w:type="dxa"/>
          </w:tcPr>
          <w:p w14:paraId="6E919EFA" w14:textId="77777777" w:rsidR="006D5D4C" w:rsidRDefault="006D5D4C"/>
        </w:tc>
        <w:tc>
          <w:tcPr>
            <w:tcW w:w="968" w:type="dxa"/>
          </w:tcPr>
          <w:p w14:paraId="638CCA97" w14:textId="77777777" w:rsidR="006D5D4C" w:rsidRDefault="006D5D4C"/>
        </w:tc>
        <w:tc>
          <w:tcPr>
            <w:tcW w:w="790" w:type="dxa"/>
          </w:tcPr>
          <w:p w14:paraId="3C721DCC" w14:textId="77777777" w:rsidR="006D5D4C" w:rsidRDefault="006D5D4C"/>
        </w:tc>
      </w:tr>
      <w:tr w:rsidR="006D5D4C" w14:paraId="15427636" w14:textId="77777777" w:rsidTr="004A6546">
        <w:tc>
          <w:tcPr>
            <w:tcW w:w="2267" w:type="dxa"/>
          </w:tcPr>
          <w:p w14:paraId="2E1F714F" w14:textId="77777777" w:rsidR="006D5D4C" w:rsidRDefault="004A6546">
            <w:pPr>
              <w:jc w:val="both"/>
              <w:rPr>
                <w:rFonts w:cs="Arial"/>
                <w:color w:val="000000" w:themeColor="text1"/>
              </w:rPr>
            </w:pPr>
            <w:r>
              <w:t xml:space="preserve">Konkurencingumo ir inovacijų skatinimas </w:t>
            </w:r>
          </w:p>
        </w:tc>
        <w:tc>
          <w:tcPr>
            <w:tcW w:w="1007" w:type="dxa"/>
          </w:tcPr>
          <w:p w14:paraId="074AA411" w14:textId="77777777" w:rsidR="006D5D4C" w:rsidRDefault="006D5D4C">
            <w:pPr>
              <w:jc w:val="both"/>
              <w:rPr>
                <w:rFonts w:cs="Arial"/>
                <w:color w:val="000000" w:themeColor="text1"/>
              </w:rPr>
            </w:pPr>
          </w:p>
        </w:tc>
        <w:tc>
          <w:tcPr>
            <w:tcW w:w="1166" w:type="dxa"/>
          </w:tcPr>
          <w:p w14:paraId="5584D4C6" w14:textId="77777777" w:rsidR="006D5D4C" w:rsidRDefault="006D5D4C">
            <w:pPr>
              <w:jc w:val="both"/>
              <w:rPr>
                <w:rFonts w:cs="Arial"/>
                <w:color w:val="000000" w:themeColor="text1"/>
              </w:rPr>
            </w:pPr>
          </w:p>
        </w:tc>
        <w:tc>
          <w:tcPr>
            <w:tcW w:w="1071" w:type="dxa"/>
          </w:tcPr>
          <w:p w14:paraId="63E39D66" w14:textId="77777777" w:rsidR="006D5D4C" w:rsidRDefault="006D5D4C">
            <w:pPr>
              <w:jc w:val="both"/>
              <w:rPr>
                <w:rFonts w:cs="Arial"/>
                <w:color w:val="000000" w:themeColor="text1"/>
              </w:rPr>
            </w:pPr>
          </w:p>
        </w:tc>
        <w:tc>
          <w:tcPr>
            <w:tcW w:w="1451" w:type="dxa"/>
          </w:tcPr>
          <w:p w14:paraId="2E1A3A5B" w14:textId="77777777" w:rsidR="006D5D4C" w:rsidRDefault="006D5D4C">
            <w:pPr>
              <w:jc w:val="both"/>
              <w:rPr>
                <w:rFonts w:cs="Arial"/>
                <w:color w:val="000000" w:themeColor="text1"/>
              </w:rPr>
            </w:pPr>
          </w:p>
        </w:tc>
        <w:tc>
          <w:tcPr>
            <w:tcW w:w="968" w:type="dxa"/>
          </w:tcPr>
          <w:p w14:paraId="3F3D88E7" w14:textId="77777777" w:rsidR="006D5D4C" w:rsidRDefault="006D5D4C">
            <w:pPr>
              <w:jc w:val="both"/>
              <w:rPr>
                <w:rFonts w:cs="Arial"/>
                <w:color w:val="000000" w:themeColor="text1"/>
              </w:rPr>
            </w:pPr>
          </w:p>
        </w:tc>
        <w:tc>
          <w:tcPr>
            <w:tcW w:w="790" w:type="dxa"/>
          </w:tcPr>
          <w:p w14:paraId="36B9E993" w14:textId="77777777" w:rsidR="006D5D4C" w:rsidRDefault="006D5D4C">
            <w:pPr>
              <w:jc w:val="both"/>
              <w:rPr>
                <w:rFonts w:cs="Arial"/>
                <w:color w:val="000000" w:themeColor="text1"/>
              </w:rPr>
            </w:pPr>
          </w:p>
        </w:tc>
      </w:tr>
    </w:tbl>
    <w:p w14:paraId="6A927522" w14:textId="28F50EDA" w:rsidR="006D5D4C" w:rsidRDefault="006D5D4C"/>
    <w:p w14:paraId="781A5DC8" w14:textId="77777777" w:rsidR="006D5D4C" w:rsidRDefault="006D5D4C"/>
    <w:p w14:paraId="48AAB1E0" w14:textId="01D7D8A2" w:rsidR="006D5D4C" w:rsidRDefault="00AE3CD7">
      <w:pPr>
        <w:jc w:val="both"/>
        <w:rPr>
          <w:rFonts w:cs="Arial"/>
          <w:b/>
          <w:color w:val="000000" w:themeColor="text1"/>
        </w:rPr>
      </w:pPr>
      <w:r>
        <w:rPr>
          <w:b/>
        </w:rPr>
        <w:t>Endokrininę sistemą ardančių medžiagų reglamentavimo nuostatų veiksmingumas</w:t>
      </w:r>
      <w:r>
        <w:rPr>
          <w:b/>
        </w:rPr>
        <w:cr/>
      </w:r>
      <w:r>
        <w:rPr>
          <w:b/>
        </w:rPr>
        <w:br/>
      </w:r>
    </w:p>
    <w:p w14:paraId="69623544" w14:textId="59C0798A" w:rsidR="006D5D4C" w:rsidRDefault="00AE3CD7">
      <w:pPr>
        <w:jc w:val="both"/>
        <w:rPr>
          <w:rFonts w:cs="Arial"/>
          <w:color w:val="000000" w:themeColor="text1"/>
        </w:rPr>
      </w:pPr>
      <w:r>
        <w:t>Reglamentavimo priemonių nauda, be kita ko, yra žmonių sveikatos ir aplinkos apsauga, sklandus vidaus rinkos veikimas ir inovacijų bei konkurencingumo skatinimas.</w:t>
      </w:r>
      <w:r>
        <w:cr/>
      </w:r>
      <w:r>
        <w:br/>
        <w:t xml:space="preserve"> Sąnaudos gali būti ekonominės (laikas, ištekliai) ir etinės (pvz., laboratorinių gyvūnų naudojimas bandymams).</w:t>
      </w:r>
      <w:r>
        <w:cr/>
      </w:r>
      <w:r>
        <w:br/>
        <w:t xml:space="preserve"> Vertinant veiksmingumą atsižvelgiama į naudą sąnaudų atžvilgiu.</w:t>
      </w:r>
      <w:r>
        <w:cr/>
      </w:r>
      <w:r>
        <w:br/>
      </w:r>
    </w:p>
    <w:p w14:paraId="3C5D5632" w14:textId="2DFAD0D1" w:rsidR="006D5D4C" w:rsidRDefault="00AE3CD7">
      <w:pPr>
        <w:pStyle w:val="ListParagraph"/>
        <w:numPr>
          <w:ilvl w:val="0"/>
          <w:numId w:val="23"/>
        </w:numPr>
        <w:spacing w:after="200" w:line="276" w:lineRule="auto"/>
        <w:contextualSpacing/>
        <w:jc w:val="both"/>
        <w:rPr>
          <w:rFonts w:cs="Arial"/>
          <w:color w:val="000000" w:themeColor="text1"/>
        </w:rPr>
      </w:pPr>
      <w:r>
        <w:t>Ar dėl poreikio įgyvendinti endokrininę sistemą ardančių medžiagų reglamentavimo reikalavimus padidėjo bendros jūsų veiklos sąnaudos?</w:t>
      </w:r>
      <w:r>
        <w:cr/>
      </w:r>
      <w:r>
        <w:br/>
      </w:r>
    </w:p>
    <w:p w14:paraId="63C08046" w14:textId="77777777" w:rsidR="006D5D4C" w:rsidRDefault="00AE3CD7">
      <w:pPr>
        <w:pStyle w:val="ListParagraph"/>
        <w:numPr>
          <w:ilvl w:val="0"/>
          <w:numId w:val="30"/>
        </w:numPr>
        <w:spacing w:line="276" w:lineRule="auto"/>
        <w:contextualSpacing/>
        <w:jc w:val="both"/>
        <w:rPr>
          <w:rFonts w:cs="Arial"/>
          <w:color w:val="000000" w:themeColor="text1"/>
        </w:rPr>
      </w:pPr>
      <w:r>
        <w:t>Taip, labai padidėjo</w:t>
      </w:r>
    </w:p>
    <w:p w14:paraId="6B05DB8A" w14:textId="77777777" w:rsidR="006D5D4C" w:rsidRDefault="00AE3CD7">
      <w:pPr>
        <w:pStyle w:val="ListParagraph"/>
        <w:numPr>
          <w:ilvl w:val="0"/>
          <w:numId w:val="30"/>
        </w:numPr>
        <w:spacing w:line="276" w:lineRule="auto"/>
        <w:contextualSpacing/>
        <w:jc w:val="both"/>
        <w:rPr>
          <w:rFonts w:cs="Arial"/>
          <w:color w:val="000000" w:themeColor="text1"/>
        </w:rPr>
      </w:pPr>
      <w:r>
        <w:t>Taip, bet padidėjo nedaug</w:t>
      </w:r>
    </w:p>
    <w:p w14:paraId="5AC41C5E" w14:textId="77777777" w:rsidR="006D5D4C" w:rsidRDefault="00AE3CD7">
      <w:pPr>
        <w:pStyle w:val="ListParagraph"/>
        <w:numPr>
          <w:ilvl w:val="0"/>
          <w:numId w:val="30"/>
        </w:numPr>
        <w:spacing w:line="276" w:lineRule="auto"/>
        <w:contextualSpacing/>
        <w:jc w:val="both"/>
        <w:rPr>
          <w:rFonts w:cs="Arial"/>
          <w:color w:val="000000" w:themeColor="text1"/>
        </w:rPr>
      </w:pPr>
      <w:r>
        <w:t>Ne</w:t>
      </w:r>
    </w:p>
    <w:p w14:paraId="308116E5" w14:textId="77777777" w:rsidR="006D5D4C" w:rsidRDefault="00AE3CD7">
      <w:pPr>
        <w:pStyle w:val="ListParagraph"/>
        <w:numPr>
          <w:ilvl w:val="0"/>
          <w:numId w:val="30"/>
        </w:numPr>
        <w:spacing w:line="276" w:lineRule="auto"/>
        <w:contextualSpacing/>
        <w:jc w:val="both"/>
        <w:rPr>
          <w:rFonts w:cs="Arial"/>
          <w:color w:val="000000" w:themeColor="text1"/>
        </w:rPr>
      </w:pPr>
      <w:r>
        <w:t>Netaikoma</w:t>
      </w:r>
    </w:p>
    <w:p w14:paraId="1D0B284E" w14:textId="4F9448EB" w:rsidR="006D5D4C" w:rsidRDefault="006D5D4C">
      <w:pPr>
        <w:jc w:val="both"/>
        <w:rPr>
          <w:rFonts w:cs="Arial"/>
          <w:color w:val="000000" w:themeColor="text1"/>
        </w:rPr>
      </w:pPr>
    </w:p>
    <w:p w14:paraId="512355A1" w14:textId="05364998" w:rsidR="006D5D4C" w:rsidRDefault="00E64440">
      <w:pPr>
        <w:pStyle w:val="ListParagraph"/>
        <w:numPr>
          <w:ilvl w:val="0"/>
          <w:numId w:val="23"/>
        </w:numPr>
        <w:spacing w:after="200" w:line="276" w:lineRule="auto"/>
        <w:contextualSpacing/>
        <w:jc w:val="both"/>
        <w:rPr>
          <w:rFonts w:cs="Arial"/>
          <w:color w:val="000000" w:themeColor="text1"/>
        </w:rPr>
      </w:pPr>
      <w:r>
        <w:t xml:space="preserve">Kiek didėja jūsų bendrovės sąnaudos, susijusios su teisės aktuose nustatytų reikalavimų (pvz., tyrimų, apribojimų ar draudimo), konkrečiai susijusių su endokrininę sistemą </w:t>
      </w:r>
      <w:r>
        <w:lastRenderedPageBreak/>
        <w:t>ardančiomis medžiagomis, laikymusi?</w:t>
      </w:r>
      <w:r>
        <w:cr/>
      </w:r>
      <w:r>
        <w:br/>
        <w:t xml:space="preserve"> </w:t>
      </w:r>
    </w:p>
    <w:tbl>
      <w:tblPr>
        <w:tblStyle w:val="TableGrid"/>
        <w:tblW w:w="8720" w:type="dxa"/>
        <w:tblLook w:val="04A0" w:firstRow="1" w:lastRow="0" w:firstColumn="1" w:lastColumn="0" w:noHBand="0" w:noVBand="1"/>
      </w:tblPr>
      <w:tblGrid>
        <w:gridCol w:w="1840"/>
        <w:gridCol w:w="1093"/>
        <w:gridCol w:w="1031"/>
        <w:gridCol w:w="1135"/>
        <w:gridCol w:w="1297"/>
        <w:gridCol w:w="1129"/>
        <w:gridCol w:w="1195"/>
      </w:tblGrid>
      <w:tr w:rsidR="006D5D4C" w14:paraId="58CB397C" w14:textId="3CC26484" w:rsidTr="008416F7">
        <w:tc>
          <w:tcPr>
            <w:tcW w:w="1947" w:type="dxa"/>
          </w:tcPr>
          <w:p w14:paraId="5398D51B" w14:textId="3993BEDF" w:rsidR="006D5D4C" w:rsidRDefault="00224C80">
            <w:r>
              <w:t>Sąnaudų padidėjimas dėl nuostatų dėl endokrininę sistemą ardančių medžiagų</w:t>
            </w:r>
            <w:r>
              <w:cr/>
            </w:r>
            <w:r>
              <w:br/>
            </w:r>
          </w:p>
        </w:tc>
        <w:tc>
          <w:tcPr>
            <w:tcW w:w="1126" w:type="dxa"/>
          </w:tcPr>
          <w:p w14:paraId="293461EC" w14:textId="77777777" w:rsidR="006D5D4C" w:rsidRDefault="00224C80">
            <w:r>
              <w:t>1</w:t>
            </w:r>
          </w:p>
          <w:p w14:paraId="599D70E7" w14:textId="0EB1EFAA" w:rsidR="006D5D4C" w:rsidRDefault="004A6546">
            <w:r>
              <w:t>Daugiau nei 10 %</w:t>
            </w:r>
          </w:p>
        </w:tc>
        <w:tc>
          <w:tcPr>
            <w:tcW w:w="1119" w:type="dxa"/>
          </w:tcPr>
          <w:p w14:paraId="0801236A" w14:textId="77777777" w:rsidR="006D5D4C" w:rsidRDefault="00224C80">
            <w:r>
              <w:t>2</w:t>
            </w:r>
          </w:p>
          <w:p w14:paraId="2EB856A7" w14:textId="05553EB0" w:rsidR="006D5D4C" w:rsidRDefault="00F32A7C">
            <w:r>
              <w:t>Nuo 5 iki 10 %</w:t>
            </w:r>
          </w:p>
        </w:tc>
        <w:tc>
          <w:tcPr>
            <w:tcW w:w="1261" w:type="dxa"/>
          </w:tcPr>
          <w:p w14:paraId="70E10088" w14:textId="77777777" w:rsidR="006D5D4C" w:rsidRDefault="00224C80">
            <w:r>
              <w:t>3</w:t>
            </w:r>
          </w:p>
          <w:p w14:paraId="02DE66A2" w14:textId="0716FF94" w:rsidR="006D5D4C" w:rsidRDefault="00F32A7C">
            <w:r>
              <w:t>Nuo 1 iki 5 %</w:t>
            </w:r>
          </w:p>
        </w:tc>
        <w:tc>
          <w:tcPr>
            <w:tcW w:w="1396" w:type="dxa"/>
          </w:tcPr>
          <w:p w14:paraId="291406D5" w14:textId="77777777" w:rsidR="006D5D4C" w:rsidRDefault="00224C80">
            <w:r>
              <w:t>4</w:t>
            </w:r>
          </w:p>
          <w:p w14:paraId="0056D2C8" w14:textId="18578777" w:rsidR="006D5D4C" w:rsidRDefault="00F32A7C">
            <w:r>
              <w:t>Mažiau nei 1 %</w:t>
            </w:r>
          </w:p>
        </w:tc>
        <w:tc>
          <w:tcPr>
            <w:tcW w:w="1172" w:type="dxa"/>
          </w:tcPr>
          <w:p w14:paraId="1DE0EC05" w14:textId="3D7AF36D" w:rsidR="006D5D4C" w:rsidRDefault="00224C80">
            <w:r>
              <w:t xml:space="preserve">Nežinau </w:t>
            </w:r>
          </w:p>
        </w:tc>
        <w:tc>
          <w:tcPr>
            <w:tcW w:w="699" w:type="dxa"/>
          </w:tcPr>
          <w:p w14:paraId="0896F9C4" w14:textId="4DA7DBDA" w:rsidR="006D5D4C" w:rsidRDefault="00224C80">
            <w:r>
              <w:t>Netaikoma</w:t>
            </w:r>
          </w:p>
        </w:tc>
      </w:tr>
      <w:tr w:rsidR="006D5D4C" w14:paraId="2E9CEE80" w14:textId="22F89791" w:rsidTr="008416F7">
        <w:tc>
          <w:tcPr>
            <w:tcW w:w="1947" w:type="dxa"/>
          </w:tcPr>
          <w:p w14:paraId="07691EB8" w14:textId="7B36061C" w:rsidR="006D5D4C" w:rsidRDefault="00224C80">
            <w:r>
              <w:t>Investicijos į naujų endokrininės sistemos ardomųjų savybių tyrimų metodikų kūrimą</w:t>
            </w:r>
            <w:r>
              <w:cr/>
            </w:r>
            <w:r>
              <w:br/>
            </w:r>
          </w:p>
        </w:tc>
        <w:tc>
          <w:tcPr>
            <w:tcW w:w="1126" w:type="dxa"/>
          </w:tcPr>
          <w:p w14:paraId="66CC360F" w14:textId="77777777" w:rsidR="006D5D4C" w:rsidRDefault="006D5D4C"/>
        </w:tc>
        <w:tc>
          <w:tcPr>
            <w:tcW w:w="1119" w:type="dxa"/>
          </w:tcPr>
          <w:p w14:paraId="4342C6A6" w14:textId="77777777" w:rsidR="006D5D4C" w:rsidRDefault="006D5D4C"/>
        </w:tc>
        <w:tc>
          <w:tcPr>
            <w:tcW w:w="1261" w:type="dxa"/>
          </w:tcPr>
          <w:p w14:paraId="73CBA90A" w14:textId="77777777" w:rsidR="006D5D4C" w:rsidRDefault="006D5D4C"/>
        </w:tc>
        <w:tc>
          <w:tcPr>
            <w:tcW w:w="1396" w:type="dxa"/>
          </w:tcPr>
          <w:p w14:paraId="6720E38F" w14:textId="77777777" w:rsidR="006D5D4C" w:rsidRDefault="006D5D4C"/>
        </w:tc>
        <w:tc>
          <w:tcPr>
            <w:tcW w:w="1172" w:type="dxa"/>
          </w:tcPr>
          <w:p w14:paraId="73C6D9C2" w14:textId="77777777" w:rsidR="006D5D4C" w:rsidRDefault="006D5D4C"/>
        </w:tc>
        <w:tc>
          <w:tcPr>
            <w:tcW w:w="699" w:type="dxa"/>
          </w:tcPr>
          <w:p w14:paraId="35DB5477" w14:textId="77777777" w:rsidR="006D5D4C" w:rsidRDefault="006D5D4C"/>
        </w:tc>
      </w:tr>
      <w:tr w:rsidR="006D5D4C" w14:paraId="7209D8FD" w14:textId="3A443B50" w:rsidTr="008416F7">
        <w:tc>
          <w:tcPr>
            <w:tcW w:w="1947" w:type="dxa"/>
          </w:tcPr>
          <w:p w14:paraId="55766443" w14:textId="24E5ECC5" w:rsidR="006D5D4C" w:rsidRDefault="00224C80">
            <w:r>
              <w:t>Sąnaudos, susijusios su endokrininės sistemos ardomųjų savybių tyrimų duomenų teikimu</w:t>
            </w:r>
            <w:r>
              <w:cr/>
            </w:r>
            <w:r>
              <w:br/>
            </w:r>
          </w:p>
        </w:tc>
        <w:tc>
          <w:tcPr>
            <w:tcW w:w="1126" w:type="dxa"/>
          </w:tcPr>
          <w:p w14:paraId="39F14E49" w14:textId="77777777" w:rsidR="006D5D4C" w:rsidRDefault="006D5D4C"/>
        </w:tc>
        <w:tc>
          <w:tcPr>
            <w:tcW w:w="1119" w:type="dxa"/>
          </w:tcPr>
          <w:p w14:paraId="7955083A" w14:textId="77777777" w:rsidR="006D5D4C" w:rsidRDefault="006D5D4C"/>
        </w:tc>
        <w:tc>
          <w:tcPr>
            <w:tcW w:w="1261" w:type="dxa"/>
          </w:tcPr>
          <w:p w14:paraId="4E29A4BC" w14:textId="77777777" w:rsidR="006D5D4C" w:rsidRDefault="006D5D4C"/>
        </w:tc>
        <w:tc>
          <w:tcPr>
            <w:tcW w:w="1396" w:type="dxa"/>
          </w:tcPr>
          <w:p w14:paraId="2EA1B051" w14:textId="77777777" w:rsidR="006D5D4C" w:rsidRDefault="006D5D4C"/>
        </w:tc>
        <w:tc>
          <w:tcPr>
            <w:tcW w:w="1172" w:type="dxa"/>
          </w:tcPr>
          <w:p w14:paraId="0BF5DC1C" w14:textId="77777777" w:rsidR="006D5D4C" w:rsidRDefault="006D5D4C"/>
        </w:tc>
        <w:tc>
          <w:tcPr>
            <w:tcW w:w="699" w:type="dxa"/>
          </w:tcPr>
          <w:p w14:paraId="66A43CFC" w14:textId="77777777" w:rsidR="006D5D4C" w:rsidRDefault="006D5D4C"/>
        </w:tc>
      </w:tr>
      <w:tr w:rsidR="006D5D4C" w14:paraId="6B5DF422" w14:textId="45C46FFB" w:rsidTr="008416F7">
        <w:tc>
          <w:tcPr>
            <w:tcW w:w="1947" w:type="dxa"/>
          </w:tcPr>
          <w:p w14:paraId="7ED6524D" w14:textId="248C5D20" w:rsidR="006D5D4C" w:rsidRDefault="00224C80">
            <w:r>
              <w:t>Sąnaudos, susijusios su registracijos arba autorizacijos dokumentų rinkinių dėl endokrininės sistemos ardomųjų savybių rengimu</w:t>
            </w:r>
            <w:r>
              <w:cr/>
            </w:r>
            <w:r>
              <w:br/>
            </w:r>
          </w:p>
        </w:tc>
        <w:tc>
          <w:tcPr>
            <w:tcW w:w="1126" w:type="dxa"/>
          </w:tcPr>
          <w:p w14:paraId="7F203F7E" w14:textId="77777777" w:rsidR="006D5D4C" w:rsidRDefault="006D5D4C"/>
        </w:tc>
        <w:tc>
          <w:tcPr>
            <w:tcW w:w="1119" w:type="dxa"/>
          </w:tcPr>
          <w:p w14:paraId="1330B7CB" w14:textId="77777777" w:rsidR="006D5D4C" w:rsidRDefault="006D5D4C"/>
        </w:tc>
        <w:tc>
          <w:tcPr>
            <w:tcW w:w="1261" w:type="dxa"/>
          </w:tcPr>
          <w:p w14:paraId="4F079354" w14:textId="77777777" w:rsidR="006D5D4C" w:rsidRDefault="006D5D4C"/>
        </w:tc>
        <w:tc>
          <w:tcPr>
            <w:tcW w:w="1396" w:type="dxa"/>
          </w:tcPr>
          <w:p w14:paraId="70ABDA46" w14:textId="77777777" w:rsidR="006D5D4C" w:rsidRDefault="006D5D4C"/>
        </w:tc>
        <w:tc>
          <w:tcPr>
            <w:tcW w:w="1172" w:type="dxa"/>
          </w:tcPr>
          <w:p w14:paraId="0BE1AAB1" w14:textId="77777777" w:rsidR="006D5D4C" w:rsidRDefault="006D5D4C"/>
        </w:tc>
        <w:tc>
          <w:tcPr>
            <w:tcW w:w="699" w:type="dxa"/>
          </w:tcPr>
          <w:p w14:paraId="1C08C142" w14:textId="77777777" w:rsidR="006D5D4C" w:rsidRDefault="006D5D4C"/>
        </w:tc>
      </w:tr>
      <w:tr w:rsidR="006D5D4C" w14:paraId="03995794" w14:textId="16EAC8FC" w:rsidTr="008416F7">
        <w:tc>
          <w:tcPr>
            <w:tcW w:w="1947" w:type="dxa"/>
          </w:tcPr>
          <w:p w14:paraId="0E6BA029" w14:textId="5276C0EC" w:rsidR="006D5D4C" w:rsidRDefault="00224C80">
            <w:r>
              <w:t>Medžiagų pakeitimo dėl endokrininės sistemos ardomųjų savybių sąnaudos (pvz., gamintojo ar naudotojo)</w:t>
            </w:r>
            <w:r>
              <w:cr/>
            </w:r>
            <w:r>
              <w:br/>
            </w:r>
          </w:p>
        </w:tc>
        <w:tc>
          <w:tcPr>
            <w:tcW w:w="1126" w:type="dxa"/>
          </w:tcPr>
          <w:p w14:paraId="51EBF646" w14:textId="77777777" w:rsidR="006D5D4C" w:rsidRDefault="006D5D4C"/>
        </w:tc>
        <w:tc>
          <w:tcPr>
            <w:tcW w:w="1119" w:type="dxa"/>
          </w:tcPr>
          <w:p w14:paraId="6453A9CE" w14:textId="77777777" w:rsidR="006D5D4C" w:rsidRDefault="006D5D4C"/>
        </w:tc>
        <w:tc>
          <w:tcPr>
            <w:tcW w:w="1261" w:type="dxa"/>
          </w:tcPr>
          <w:p w14:paraId="78A61D86" w14:textId="77777777" w:rsidR="006D5D4C" w:rsidRDefault="006D5D4C"/>
        </w:tc>
        <w:tc>
          <w:tcPr>
            <w:tcW w:w="1396" w:type="dxa"/>
          </w:tcPr>
          <w:p w14:paraId="17C787C8" w14:textId="77777777" w:rsidR="006D5D4C" w:rsidRDefault="006D5D4C"/>
        </w:tc>
        <w:tc>
          <w:tcPr>
            <w:tcW w:w="1172" w:type="dxa"/>
          </w:tcPr>
          <w:p w14:paraId="5CB0BEEC" w14:textId="77777777" w:rsidR="006D5D4C" w:rsidRDefault="006D5D4C"/>
        </w:tc>
        <w:tc>
          <w:tcPr>
            <w:tcW w:w="699" w:type="dxa"/>
          </w:tcPr>
          <w:p w14:paraId="482D3461" w14:textId="77777777" w:rsidR="006D5D4C" w:rsidRDefault="006D5D4C"/>
        </w:tc>
      </w:tr>
    </w:tbl>
    <w:p w14:paraId="06BE44AE" w14:textId="77777777" w:rsidR="006D5D4C" w:rsidRDefault="006D5D4C">
      <w:pPr>
        <w:jc w:val="both"/>
        <w:rPr>
          <w:rFonts w:cs="Arial"/>
          <w:color w:val="000000" w:themeColor="text1"/>
        </w:rPr>
      </w:pPr>
    </w:p>
    <w:p w14:paraId="36ABD685" w14:textId="55E065E3" w:rsidR="006D5D4C" w:rsidRDefault="00AE3CD7">
      <w:pPr>
        <w:pStyle w:val="ListParagraph"/>
        <w:numPr>
          <w:ilvl w:val="0"/>
          <w:numId w:val="23"/>
        </w:numPr>
        <w:spacing w:after="200" w:line="276" w:lineRule="auto"/>
        <w:contextualSpacing/>
        <w:jc w:val="both"/>
        <w:rPr>
          <w:rFonts w:cs="Arial"/>
          <w:color w:val="000000" w:themeColor="text1"/>
        </w:rPr>
      </w:pPr>
      <w:r>
        <w:t>Kokį poveikį nuostatos dėl endokrininę sistemą ardančių medžiagų turėjo jūsų veiklos sektoriui?</w:t>
      </w:r>
      <w:r>
        <w:cr/>
      </w:r>
      <w:r>
        <w:lastRenderedPageBreak/>
        <w:br/>
        <w:t xml:space="preserve"> </w:t>
      </w:r>
    </w:p>
    <w:tbl>
      <w:tblPr>
        <w:tblStyle w:val="TableGrid"/>
        <w:tblW w:w="0" w:type="auto"/>
        <w:tblLook w:val="04A0" w:firstRow="1" w:lastRow="0" w:firstColumn="1" w:lastColumn="0" w:noHBand="0" w:noVBand="1"/>
      </w:tblPr>
      <w:tblGrid>
        <w:gridCol w:w="1413"/>
        <w:gridCol w:w="1039"/>
        <w:gridCol w:w="1059"/>
        <w:gridCol w:w="1012"/>
        <w:gridCol w:w="1024"/>
        <w:gridCol w:w="991"/>
        <w:gridCol w:w="987"/>
        <w:gridCol w:w="1195"/>
      </w:tblGrid>
      <w:tr w:rsidR="006D5D4C" w14:paraId="196C32CB" w14:textId="5851CEF0" w:rsidTr="00265D14">
        <w:tc>
          <w:tcPr>
            <w:tcW w:w="1587" w:type="dxa"/>
          </w:tcPr>
          <w:p w14:paraId="79518447" w14:textId="77777777" w:rsidR="006D5D4C" w:rsidRDefault="006D5D4C">
            <w:pPr>
              <w:jc w:val="both"/>
              <w:rPr>
                <w:rFonts w:cs="Arial"/>
                <w:color w:val="000000" w:themeColor="text1"/>
              </w:rPr>
            </w:pPr>
          </w:p>
        </w:tc>
        <w:tc>
          <w:tcPr>
            <w:tcW w:w="1059" w:type="dxa"/>
          </w:tcPr>
          <w:p w14:paraId="474CA170" w14:textId="77777777" w:rsidR="006D5D4C" w:rsidRDefault="00224C80">
            <w:pPr>
              <w:jc w:val="both"/>
              <w:rPr>
                <w:rFonts w:cs="Arial"/>
                <w:color w:val="000000" w:themeColor="text1"/>
              </w:rPr>
            </w:pPr>
            <w:r>
              <w:t xml:space="preserve">Labai neigiamą </w:t>
            </w:r>
          </w:p>
        </w:tc>
        <w:tc>
          <w:tcPr>
            <w:tcW w:w="1045" w:type="dxa"/>
          </w:tcPr>
          <w:p w14:paraId="61DA1316" w14:textId="77777777" w:rsidR="006D5D4C" w:rsidRDefault="00224C80">
            <w:pPr>
              <w:jc w:val="both"/>
              <w:rPr>
                <w:rFonts w:cs="Arial"/>
                <w:color w:val="000000" w:themeColor="text1"/>
              </w:rPr>
            </w:pPr>
            <w:r>
              <w:t xml:space="preserve">Neigiamą </w:t>
            </w:r>
          </w:p>
        </w:tc>
        <w:tc>
          <w:tcPr>
            <w:tcW w:w="907" w:type="dxa"/>
          </w:tcPr>
          <w:p w14:paraId="061B2530" w14:textId="77777777" w:rsidR="006D5D4C" w:rsidRDefault="00224C80">
            <w:pPr>
              <w:jc w:val="both"/>
              <w:rPr>
                <w:rFonts w:cs="Arial"/>
                <w:color w:val="000000" w:themeColor="text1"/>
              </w:rPr>
            </w:pPr>
            <w:r>
              <w:t xml:space="preserve">Neturėjo poveikio </w:t>
            </w:r>
          </w:p>
        </w:tc>
        <w:tc>
          <w:tcPr>
            <w:tcW w:w="926" w:type="dxa"/>
          </w:tcPr>
          <w:p w14:paraId="5A6E4F05" w14:textId="77777777" w:rsidR="006D5D4C" w:rsidRDefault="00224C80">
            <w:pPr>
              <w:jc w:val="both"/>
              <w:rPr>
                <w:rFonts w:cs="Arial"/>
                <w:color w:val="000000" w:themeColor="text1"/>
              </w:rPr>
            </w:pPr>
            <w:r>
              <w:t xml:space="preserve">Teigiamą </w:t>
            </w:r>
          </w:p>
        </w:tc>
        <w:tc>
          <w:tcPr>
            <w:tcW w:w="940" w:type="dxa"/>
          </w:tcPr>
          <w:p w14:paraId="54DA4F94" w14:textId="77777777" w:rsidR="006D5D4C" w:rsidRDefault="00224C80">
            <w:pPr>
              <w:jc w:val="both"/>
              <w:rPr>
                <w:rFonts w:cs="Arial"/>
                <w:color w:val="000000" w:themeColor="text1"/>
              </w:rPr>
            </w:pPr>
            <w:r>
              <w:t xml:space="preserve">Labai teigiamą </w:t>
            </w:r>
          </w:p>
        </w:tc>
        <w:tc>
          <w:tcPr>
            <w:tcW w:w="1128" w:type="dxa"/>
          </w:tcPr>
          <w:p w14:paraId="562BB5A9" w14:textId="526FD52D" w:rsidR="006D5D4C" w:rsidRDefault="00224C80">
            <w:pPr>
              <w:jc w:val="both"/>
              <w:rPr>
                <w:rFonts w:cs="Arial"/>
                <w:color w:val="000000" w:themeColor="text1"/>
              </w:rPr>
            </w:pPr>
            <w:r>
              <w:t>Nežinau</w:t>
            </w:r>
          </w:p>
        </w:tc>
        <w:tc>
          <w:tcPr>
            <w:tcW w:w="1128" w:type="dxa"/>
          </w:tcPr>
          <w:p w14:paraId="557CC2F9" w14:textId="7C794CD3" w:rsidR="006D5D4C" w:rsidRDefault="00062551">
            <w:pPr>
              <w:jc w:val="both"/>
              <w:rPr>
                <w:rFonts w:cs="Arial"/>
                <w:color w:val="000000" w:themeColor="text1"/>
              </w:rPr>
            </w:pPr>
            <w:r>
              <w:t>Netaikoma</w:t>
            </w:r>
          </w:p>
        </w:tc>
      </w:tr>
      <w:tr w:rsidR="006D5D4C" w14:paraId="36F93DD2" w14:textId="310FD25F" w:rsidTr="00265D14">
        <w:tc>
          <w:tcPr>
            <w:tcW w:w="1587" w:type="dxa"/>
          </w:tcPr>
          <w:p w14:paraId="18F15E38" w14:textId="77777777" w:rsidR="006D5D4C" w:rsidRDefault="00224C80">
            <w:pPr>
              <w:jc w:val="both"/>
              <w:rPr>
                <w:rFonts w:cs="Arial"/>
                <w:color w:val="000000" w:themeColor="text1"/>
              </w:rPr>
            </w:pPr>
            <w:r>
              <w:t xml:space="preserve">Inovacijos </w:t>
            </w:r>
          </w:p>
        </w:tc>
        <w:tc>
          <w:tcPr>
            <w:tcW w:w="1059" w:type="dxa"/>
          </w:tcPr>
          <w:p w14:paraId="7EB83B45" w14:textId="77777777" w:rsidR="006D5D4C" w:rsidRDefault="006D5D4C">
            <w:pPr>
              <w:jc w:val="both"/>
              <w:rPr>
                <w:rFonts w:cs="Arial"/>
                <w:color w:val="000000" w:themeColor="text1"/>
              </w:rPr>
            </w:pPr>
          </w:p>
        </w:tc>
        <w:tc>
          <w:tcPr>
            <w:tcW w:w="1045" w:type="dxa"/>
          </w:tcPr>
          <w:p w14:paraId="7CC6B75B" w14:textId="77777777" w:rsidR="006D5D4C" w:rsidRDefault="006D5D4C">
            <w:pPr>
              <w:jc w:val="both"/>
              <w:rPr>
                <w:rFonts w:cs="Arial"/>
                <w:color w:val="000000" w:themeColor="text1"/>
              </w:rPr>
            </w:pPr>
          </w:p>
        </w:tc>
        <w:tc>
          <w:tcPr>
            <w:tcW w:w="907" w:type="dxa"/>
          </w:tcPr>
          <w:p w14:paraId="6E751079" w14:textId="77777777" w:rsidR="006D5D4C" w:rsidRDefault="006D5D4C">
            <w:pPr>
              <w:jc w:val="both"/>
              <w:rPr>
                <w:rFonts w:cs="Arial"/>
                <w:color w:val="000000" w:themeColor="text1"/>
              </w:rPr>
            </w:pPr>
          </w:p>
        </w:tc>
        <w:tc>
          <w:tcPr>
            <w:tcW w:w="926" w:type="dxa"/>
          </w:tcPr>
          <w:p w14:paraId="1C05D9E3" w14:textId="77777777" w:rsidR="006D5D4C" w:rsidRDefault="006D5D4C">
            <w:pPr>
              <w:jc w:val="both"/>
              <w:rPr>
                <w:rFonts w:cs="Arial"/>
                <w:color w:val="000000" w:themeColor="text1"/>
              </w:rPr>
            </w:pPr>
          </w:p>
        </w:tc>
        <w:tc>
          <w:tcPr>
            <w:tcW w:w="940" w:type="dxa"/>
          </w:tcPr>
          <w:p w14:paraId="27848A8B" w14:textId="77777777" w:rsidR="006D5D4C" w:rsidRDefault="006D5D4C">
            <w:pPr>
              <w:jc w:val="both"/>
              <w:rPr>
                <w:rFonts w:cs="Arial"/>
                <w:color w:val="000000" w:themeColor="text1"/>
              </w:rPr>
            </w:pPr>
          </w:p>
        </w:tc>
        <w:tc>
          <w:tcPr>
            <w:tcW w:w="1128" w:type="dxa"/>
          </w:tcPr>
          <w:p w14:paraId="22C3CF5D" w14:textId="77777777" w:rsidR="006D5D4C" w:rsidRDefault="006D5D4C">
            <w:pPr>
              <w:jc w:val="both"/>
              <w:rPr>
                <w:rFonts w:cs="Arial"/>
                <w:color w:val="000000" w:themeColor="text1"/>
              </w:rPr>
            </w:pPr>
          </w:p>
        </w:tc>
        <w:tc>
          <w:tcPr>
            <w:tcW w:w="1128" w:type="dxa"/>
          </w:tcPr>
          <w:p w14:paraId="4706490C" w14:textId="77777777" w:rsidR="006D5D4C" w:rsidRDefault="006D5D4C">
            <w:pPr>
              <w:jc w:val="both"/>
              <w:rPr>
                <w:rFonts w:cs="Arial"/>
                <w:color w:val="000000" w:themeColor="text1"/>
              </w:rPr>
            </w:pPr>
          </w:p>
        </w:tc>
      </w:tr>
      <w:tr w:rsidR="006D5D4C" w14:paraId="39C490A8" w14:textId="572D3696" w:rsidTr="00265D14">
        <w:tc>
          <w:tcPr>
            <w:tcW w:w="1587" w:type="dxa"/>
          </w:tcPr>
          <w:p w14:paraId="12C56AA6" w14:textId="77777777" w:rsidR="006D5D4C" w:rsidRDefault="00224C80">
            <w:pPr>
              <w:jc w:val="both"/>
              <w:rPr>
                <w:rFonts w:cs="Arial"/>
                <w:color w:val="000000" w:themeColor="text1"/>
              </w:rPr>
            </w:pPr>
            <w:r>
              <w:t xml:space="preserve">Našumas </w:t>
            </w:r>
          </w:p>
        </w:tc>
        <w:tc>
          <w:tcPr>
            <w:tcW w:w="1059" w:type="dxa"/>
          </w:tcPr>
          <w:p w14:paraId="3A990F1D" w14:textId="77777777" w:rsidR="006D5D4C" w:rsidRDefault="006D5D4C">
            <w:pPr>
              <w:jc w:val="both"/>
              <w:rPr>
                <w:rFonts w:cs="Arial"/>
                <w:color w:val="000000" w:themeColor="text1"/>
              </w:rPr>
            </w:pPr>
          </w:p>
        </w:tc>
        <w:tc>
          <w:tcPr>
            <w:tcW w:w="1045" w:type="dxa"/>
          </w:tcPr>
          <w:p w14:paraId="1CE596D7" w14:textId="77777777" w:rsidR="006D5D4C" w:rsidRDefault="006D5D4C">
            <w:pPr>
              <w:jc w:val="both"/>
              <w:rPr>
                <w:rFonts w:cs="Arial"/>
                <w:color w:val="000000" w:themeColor="text1"/>
              </w:rPr>
            </w:pPr>
          </w:p>
        </w:tc>
        <w:tc>
          <w:tcPr>
            <w:tcW w:w="907" w:type="dxa"/>
          </w:tcPr>
          <w:p w14:paraId="2ED87EA3" w14:textId="77777777" w:rsidR="006D5D4C" w:rsidRDefault="006D5D4C">
            <w:pPr>
              <w:jc w:val="both"/>
              <w:rPr>
                <w:rFonts w:cs="Arial"/>
                <w:color w:val="000000" w:themeColor="text1"/>
              </w:rPr>
            </w:pPr>
          </w:p>
        </w:tc>
        <w:tc>
          <w:tcPr>
            <w:tcW w:w="926" w:type="dxa"/>
          </w:tcPr>
          <w:p w14:paraId="427F0676" w14:textId="77777777" w:rsidR="006D5D4C" w:rsidRDefault="006D5D4C">
            <w:pPr>
              <w:jc w:val="both"/>
              <w:rPr>
                <w:rFonts w:cs="Arial"/>
                <w:color w:val="000000" w:themeColor="text1"/>
              </w:rPr>
            </w:pPr>
          </w:p>
        </w:tc>
        <w:tc>
          <w:tcPr>
            <w:tcW w:w="940" w:type="dxa"/>
          </w:tcPr>
          <w:p w14:paraId="1E27AF24" w14:textId="77777777" w:rsidR="006D5D4C" w:rsidRDefault="006D5D4C">
            <w:pPr>
              <w:jc w:val="both"/>
              <w:rPr>
                <w:rFonts w:cs="Arial"/>
                <w:color w:val="000000" w:themeColor="text1"/>
              </w:rPr>
            </w:pPr>
          </w:p>
        </w:tc>
        <w:tc>
          <w:tcPr>
            <w:tcW w:w="1128" w:type="dxa"/>
          </w:tcPr>
          <w:p w14:paraId="7376BC7C" w14:textId="77777777" w:rsidR="006D5D4C" w:rsidRDefault="006D5D4C">
            <w:pPr>
              <w:jc w:val="both"/>
              <w:rPr>
                <w:rFonts w:cs="Arial"/>
                <w:color w:val="000000" w:themeColor="text1"/>
              </w:rPr>
            </w:pPr>
          </w:p>
        </w:tc>
        <w:tc>
          <w:tcPr>
            <w:tcW w:w="1128" w:type="dxa"/>
          </w:tcPr>
          <w:p w14:paraId="7C94018A" w14:textId="77777777" w:rsidR="006D5D4C" w:rsidRDefault="006D5D4C">
            <w:pPr>
              <w:jc w:val="both"/>
              <w:rPr>
                <w:rFonts w:cs="Arial"/>
                <w:color w:val="000000" w:themeColor="text1"/>
              </w:rPr>
            </w:pPr>
          </w:p>
        </w:tc>
      </w:tr>
      <w:tr w:rsidR="006D5D4C" w14:paraId="729B69F1" w14:textId="550BFE4C" w:rsidTr="00265D14">
        <w:tc>
          <w:tcPr>
            <w:tcW w:w="1587" w:type="dxa"/>
          </w:tcPr>
          <w:p w14:paraId="44EE5333" w14:textId="77777777" w:rsidR="006D5D4C" w:rsidRDefault="00224C80">
            <w:pPr>
              <w:jc w:val="both"/>
              <w:rPr>
                <w:rFonts w:cs="Arial"/>
                <w:color w:val="000000" w:themeColor="text1"/>
              </w:rPr>
            </w:pPr>
            <w:r>
              <w:t>Pelningumas</w:t>
            </w:r>
          </w:p>
        </w:tc>
        <w:tc>
          <w:tcPr>
            <w:tcW w:w="1059" w:type="dxa"/>
          </w:tcPr>
          <w:p w14:paraId="05FAA106" w14:textId="77777777" w:rsidR="006D5D4C" w:rsidRDefault="006D5D4C">
            <w:pPr>
              <w:jc w:val="both"/>
              <w:rPr>
                <w:rFonts w:cs="Arial"/>
                <w:color w:val="000000" w:themeColor="text1"/>
              </w:rPr>
            </w:pPr>
          </w:p>
        </w:tc>
        <w:tc>
          <w:tcPr>
            <w:tcW w:w="1045" w:type="dxa"/>
          </w:tcPr>
          <w:p w14:paraId="7B002051" w14:textId="77777777" w:rsidR="006D5D4C" w:rsidRDefault="006D5D4C">
            <w:pPr>
              <w:jc w:val="both"/>
              <w:rPr>
                <w:rFonts w:cs="Arial"/>
                <w:color w:val="000000" w:themeColor="text1"/>
              </w:rPr>
            </w:pPr>
          </w:p>
        </w:tc>
        <w:tc>
          <w:tcPr>
            <w:tcW w:w="907" w:type="dxa"/>
          </w:tcPr>
          <w:p w14:paraId="4EE4CC05" w14:textId="77777777" w:rsidR="006D5D4C" w:rsidRDefault="006D5D4C">
            <w:pPr>
              <w:jc w:val="both"/>
              <w:rPr>
                <w:rFonts w:cs="Arial"/>
                <w:color w:val="000000" w:themeColor="text1"/>
              </w:rPr>
            </w:pPr>
          </w:p>
        </w:tc>
        <w:tc>
          <w:tcPr>
            <w:tcW w:w="926" w:type="dxa"/>
          </w:tcPr>
          <w:p w14:paraId="3A73BAC0" w14:textId="77777777" w:rsidR="006D5D4C" w:rsidRDefault="006D5D4C">
            <w:pPr>
              <w:jc w:val="both"/>
              <w:rPr>
                <w:rFonts w:cs="Arial"/>
                <w:color w:val="000000" w:themeColor="text1"/>
              </w:rPr>
            </w:pPr>
          </w:p>
        </w:tc>
        <w:tc>
          <w:tcPr>
            <w:tcW w:w="940" w:type="dxa"/>
          </w:tcPr>
          <w:p w14:paraId="04D036EA" w14:textId="77777777" w:rsidR="006D5D4C" w:rsidRDefault="006D5D4C">
            <w:pPr>
              <w:jc w:val="both"/>
              <w:rPr>
                <w:rFonts w:cs="Arial"/>
                <w:color w:val="000000" w:themeColor="text1"/>
              </w:rPr>
            </w:pPr>
          </w:p>
        </w:tc>
        <w:tc>
          <w:tcPr>
            <w:tcW w:w="1128" w:type="dxa"/>
          </w:tcPr>
          <w:p w14:paraId="42D75658" w14:textId="77777777" w:rsidR="006D5D4C" w:rsidRDefault="006D5D4C">
            <w:pPr>
              <w:jc w:val="both"/>
              <w:rPr>
                <w:rFonts w:cs="Arial"/>
                <w:color w:val="000000" w:themeColor="text1"/>
              </w:rPr>
            </w:pPr>
          </w:p>
        </w:tc>
        <w:tc>
          <w:tcPr>
            <w:tcW w:w="1128" w:type="dxa"/>
          </w:tcPr>
          <w:p w14:paraId="48278A7E" w14:textId="77777777" w:rsidR="006D5D4C" w:rsidRDefault="006D5D4C">
            <w:pPr>
              <w:jc w:val="both"/>
              <w:rPr>
                <w:rFonts w:cs="Arial"/>
                <w:color w:val="000000" w:themeColor="text1"/>
              </w:rPr>
            </w:pPr>
          </w:p>
        </w:tc>
      </w:tr>
      <w:tr w:rsidR="006D5D4C" w14:paraId="512B519C" w14:textId="2FF8D84B" w:rsidTr="00265D14">
        <w:tc>
          <w:tcPr>
            <w:tcW w:w="1587" w:type="dxa"/>
          </w:tcPr>
          <w:p w14:paraId="4F3C472C" w14:textId="77777777" w:rsidR="006D5D4C" w:rsidRDefault="00224C80">
            <w:pPr>
              <w:jc w:val="both"/>
              <w:rPr>
                <w:rFonts w:cs="Arial"/>
                <w:color w:val="000000" w:themeColor="text1"/>
              </w:rPr>
            </w:pPr>
            <w:r>
              <w:t xml:space="preserve">Tarptautinė prekyba </w:t>
            </w:r>
          </w:p>
        </w:tc>
        <w:tc>
          <w:tcPr>
            <w:tcW w:w="1059" w:type="dxa"/>
          </w:tcPr>
          <w:p w14:paraId="5683504E" w14:textId="77777777" w:rsidR="006D5D4C" w:rsidRDefault="006D5D4C">
            <w:pPr>
              <w:jc w:val="both"/>
              <w:rPr>
                <w:rFonts w:cs="Arial"/>
                <w:color w:val="000000" w:themeColor="text1"/>
              </w:rPr>
            </w:pPr>
          </w:p>
        </w:tc>
        <w:tc>
          <w:tcPr>
            <w:tcW w:w="1045" w:type="dxa"/>
          </w:tcPr>
          <w:p w14:paraId="06AC9AB4" w14:textId="77777777" w:rsidR="006D5D4C" w:rsidRDefault="006D5D4C">
            <w:pPr>
              <w:jc w:val="both"/>
              <w:rPr>
                <w:rFonts w:cs="Arial"/>
                <w:color w:val="000000" w:themeColor="text1"/>
              </w:rPr>
            </w:pPr>
          </w:p>
        </w:tc>
        <w:tc>
          <w:tcPr>
            <w:tcW w:w="907" w:type="dxa"/>
          </w:tcPr>
          <w:p w14:paraId="26B7A11E" w14:textId="77777777" w:rsidR="006D5D4C" w:rsidRDefault="006D5D4C">
            <w:pPr>
              <w:jc w:val="both"/>
              <w:rPr>
                <w:rFonts w:cs="Arial"/>
                <w:color w:val="000000" w:themeColor="text1"/>
              </w:rPr>
            </w:pPr>
          </w:p>
        </w:tc>
        <w:tc>
          <w:tcPr>
            <w:tcW w:w="926" w:type="dxa"/>
          </w:tcPr>
          <w:p w14:paraId="6DACB870" w14:textId="77777777" w:rsidR="006D5D4C" w:rsidRDefault="006D5D4C">
            <w:pPr>
              <w:jc w:val="both"/>
              <w:rPr>
                <w:rFonts w:cs="Arial"/>
                <w:color w:val="000000" w:themeColor="text1"/>
              </w:rPr>
            </w:pPr>
          </w:p>
        </w:tc>
        <w:tc>
          <w:tcPr>
            <w:tcW w:w="940" w:type="dxa"/>
          </w:tcPr>
          <w:p w14:paraId="162C97E7" w14:textId="77777777" w:rsidR="006D5D4C" w:rsidRDefault="006D5D4C">
            <w:pPr>
              <w:jc w:val="both"/>
              <w:rPr>
                <w:rFonts w:cs="Arial"/>
                <w:color w:val="000000" w:themeColor="text1"/>
              </w:rPr>
            </w:pPr>
          </w:p>
        </w:tc>
        <w:tc>
          <w:tcPr>
            <w:tcW w:w="1128" w:type="dxa"/>
          </w:tcPr>
          <w:p w14:paraId="47CC2C18" w14:textId="77777777" w:rsidR="006D5D4C" w:rsidRDefault="006D5D4C">
            <w:pPr>
              <w:jc w:val="both"/>
              <w:rPr>
                <w:rFonts w:cs="Arial"/>
                <w:color w:val="000000" w:themeColor="text1"/>
              </w:rPr>
            </w:pPr>
          </w:p>
        </w:tc>
        <w:tc>
          <w:tcPr>
            <w:tcW w:w="1128" w:type="dxa"/>
          </w:tcPr>
          <w:p w14:paraId="788E8AE3" w14:textId="77777777" w:rsidR="006D5D4C" w:rsidRDefault="006D5D4C">
            <w:pPr>
              <w:jc w:val="both"/>
              <w:rPr>
                <w:rFonts w:cs="Arial"/>
                <w:color w:val="000000" w:themeColor="text1"/>
              </w:rPr>
            </w:pPr>
          </w:p>
        </w:tc>
      </w:tr>
    </w:tbl>
    <w:p w14:paraId="05E6C0D7" w14:textId="233F2EC9" w:rsidR="006D5D4C" w:rsidRDefault="00AE3CD7">
      <w:pPr>
        <w:jc w:val="both"/>
        <w:rPr>
          <w:rFonts w:cs="Arial"/>
          <w:color w:val="000000" w:themeColor="text1"/>
        </w:rPr>
      </w:pPr>
      <w:r>
        <w:t>Kita (nurodykite) (ne daugiau kaip 100 ženklų)</w:t>
      </w:r>
    </w:p>
    <w:tbl>
      <w:tblPr>
        <w:tblStyle w:val="TableGrid"/>
        <w:tblW w:w="0" w:type="auto"/>
        <w:tblLook w:val="04A0" w:firstRow="1" w:lastRow="0" w:firstColumn="1" w:lastColumn="0" w:noHBand="0" w:noVBand="1"/>
      </w:tblPr>
      <w:tblGrid>
        <w:gridCol w:w="8720"/>
      </w:tblGrid>
      <w:tr w:rsidR="006D5D4C" w14:paraId="5A672660" w14:textId="77777777" w:rsidTr="00086936">
        <w:tc>
          <w:tcPr>
            <w:tcW w:w="8720" w:type="dxa"/>
          </w:tcPr>
          <w:p w14:paraId="732E8311" w14:textId="77777777" w:rsidR="006D5D4C" w:rsidRDefault="006D5D4C">
            <w:pPr>
              <w:jc w:val="both"/>
              <w:rPr>
                <w:rFonts w:cs="Arial"/>
                <w:color w:val="000000" w:themeColor="text1"/>
              </w:rPr>
            </w:pPr>
          </w:p>
        </w:tc>
      </w:tr>
    </w:tbl>
    <w:p w14:paraId="49F29DD9" w14:textId="77777777" w:rsidR="006D5D4C" w:rsidRDefault="006D5D4C">
      <w:pPr>
        <w:jc w:val="both"/>
        <w:rPr>
          <w:rFonts w:cs="Arial"/>
          <w:color w:val="000000" w:themeColor="text1"/>
        </w:rPr>
      </w:pPr>
    </w:p>
    <w:p w14:paraId="5B96D99A" w14:textId="77777777" w:rsidR="006D5D4C" w:rsidRDefault="00F32A7C">
      <w:pPr>
        <w:jc w:val="both"/>
        <w:rPr>
          <w:rFonts w:cs="Arial"/>
          <w:color w:val="000000" w:themeColor="text1"/>
        </w:rPr>
      </w:pPr>
      <w:r>
        <w:t xml:space="preserve">Paaiškinkite savo atsakymą.(ne daugiau kaip 1000 ženklų) </w:t>
      </w:r>
    </w:p>
    <w:tbl>
      <w:tblPr>
        <w:tblStyle w:val="TableGrid"/>
        <w:tblW w:w="0" w:type="auto"/>
        <w:tblLook w:val="04A0" w:firstRow="1" w:lastRow="0" w:firstColumn="1" w:lastColumn="0" w:noHBand="0" w:noVBand="1"/>
      </w:tblPr>
      <w:tblGrid>
        <w:gridCol w:w="8720"/>
      </w:tblGrid>
      <w:tr w:rsidR="006D5D4C" w14:paraId="5CED3614" w14:textId="77777777" w:rsidTr="009007D2">
        <w:tc>
          <w:tcPr>
            <w:tcW w:w="8720" w:type="dxa"/>
          </w:tcPr>
          <w:p w14:paraId="07081A7F" w14:textId="77777777" w:rsidR="006D5D4C" w:rsidRDefault="006D5D4C">
            <w:pPr>
              <w:jc w:val="both"/>
              <w:rPr>
                <w:rFonts w:cs="Arial"/>
                <w:color w:val="000000" w:themeColor="text1"/>
              </w:rPr>
            </w:pPr>
          </w:p>
        </w:tc>
      </w:tr>
    </w:tbl>
    <w:p w14:paraId="528F3952" w14:textId="77777777" w:rsidR="006D5D4C" w:rsidRDefault="006D5D4C">
      <w:pPr>
        <w:jc w:val="both"/>
        <w:rPr>
          <w:rFonts w:cs="Arial"/>
          <w:color w:val="000000" w:themeColor="text1"/>
        </w:rPr>
      </w:pPr>
    </w:p>
    <w:p w14:paraId="16EB3E4F" w14:textId="249104B3" w:rsidR="006D5D4C" w:rsidRDefault="00CA2FEC">
      <w:pPr>
        <w:pStyle w:val="ListParagraph"/>
        <w:numPr>
          <w:ilvl w:val="0"/>
          <w:numId w:val="23"/>
        </w:numPr>
        <w:spacing w:after="200" w:line="276" w:lineRule="auto"/>
        <w:contextualSpacing/>
        <w:jc w:val="both"/>
        <w:rPr>
          <w:rFonts w:cs="Arial"/>
          <w:color w:val="000000" w:themeColor="text1"/>
        </w:rPr>
      </w:pPr>
      <w:r>
        <w:t>Ar, jūsų nuomone, su endokrininę sistemą ardančių medžiagų</w:t>
      </w:r>
      <w:r w:rsidR="00E46175">
        <w:t xml:space="preserve"> identifikavimu ir valdymu susijusios sąnaudos jūsų verslo sektoriuje yra pagrįstos ir proporcingos gautai naudai?</w:t>
      </w:r>
      <w:r w:rsidR="00E46175">
        <w:cr/>
      </w:r>
      <w:r w:rsidR="00E46175">
        <w:br/>
      </w:r>
    </w:p>
    <w:p w14:paraId="43E3786F" w14:textId="77777777" w:rsidR="006D5D4C" w:rsidRDefault="006D5D4C">
      <w:pPr>
        <w:pStyle w:val="ListParagraph"/>
        <w:ind w:left="340"/>
        <w:contextualSpacing/>
        <w:jc w:val="both"/>
        <w:rPr>
          <w:rFonts w:cs="Arial"/>
          <w:color w:val="000000" w:themeColor="text1"/>
        </w:rPr>
      </w:pPr>
    </w:p>
    <w:p w14:paraId="59C21D5C" w14:textId="1CB19766" w:rsidR="006D5D4C" w:rsidRDefault="006B1A9E">
      <w:pPr>
        <w:pStyle w:val="ListParagraph"/>
        <w:numPr>
          <w:ilvl w:val="0"/>
          <w:numId w:val="31"/>
        </w:numPr>
        <w:contextualSpacing/>
        <w:jc w:val="both"/>
        <w:rPr>
          <w:rFonts w:cs="Arial"/>
          <w:color w:val="000000" w:themeColor="text1"/>
        </w:rPr>
      </w:pPr>
      <w:r>
        <w:t xml:space="preserve">Visiškai </w:t>
      </w:r>
    </w:p>
    <w:p w14:paraId="6928D82A" w14:textId="4715CE06" w:rsidR="006D5D4C" w:rsidRDefault="00E46175">
      <w:pPr>
        <w:pStyle w:val="ListParagraph"/>
        <w:numPr>
          <w:ilvl w:val="0"/>
          <w:numId w:val="31"/>
        </w:numPr>
        <w:contextualSpacing/>
        <w:jc w:val="both"/>
        <w:rPr>
          <w:rFonts w:cs="Arial"/>
          <w:color w:val="000000" w:themeColor="text1"/>
        </w:rPr>
      </w:pPr>
      <w:r>
        <w:t xml:space="preserve">Iš dalies </w:t>
      </w:r>
    </w:p>
    <w:p w14:paraId="5EF9AF61" w14:textId="2A8D8B3B" w:rsidR="006D5D4C" w:rsidRDefault="006B1A9E">
      <w:pPr>
        <w:pStyle w:val="ListParagraph"/>
        <w:numPr>
          <w:ilvl w:val="0"/>
          <w:numId w:val="31"/>
        </w:numPr>
        <w:contextualSpacing/>
        <w:jc w:val="both"/>
        <w:rPr>
          <w:rFonts w:cs="Arial"/>
          <w:color w:val="000000" w:themeColor="text1"/>
        </w:rPr>
      </w:pPr>
      <w:r>
        <w:t xml:space="preserve">Visiškai ne </w:t>
      </w:r>
    </w:p>
    <w:p w14:paraId="2BC9FA33" w14:textId="77777777" w:rsidR="006D5D4C" w:rsidRDefault="00E46175">
      <w:pPr>
        <w:pStyle w:val="ListParagraph"/>
        <w:numPr>
          <w:ilvl w:val="0"/>
          <w:numId w:val="31"/>
        </w:numPr>
        <w:contextualSpacing/>
        <w:jc w:val="both"/>
        <w:rPr>
          <w:rFonts w:cs="Arial"/>
          <w:color w:val="000000" w:themeColor="text1"/>
        </w:rPr>
      </w:pPr>
      <w:r>
        <w:t>Nežinau</w:t>
      </w:r>
    </w:p>
    <w:p w14:paraId="7E9047D2" w14:textId="77777777" w:rsidR="006D5D4C" w:rsidRDefault="006D5D4C">
      <w:pPr>
        <w:jc w:val="both"/>
        <w:rPr>
          <w:rFonts w:cs="Arial"/>
          <w:color w:val="000000" w:themeColor="text1"/>
        </w:rPr>
      </w:pPr>
    </w:p>
    <w:p w14:paraId="7C05A4F5" w14:textId="77777777" w:rsidR="006D5D4C" w:rsidRDefault="006D5D4C"/>
    <w:p w14:paraId="0D076D55" w14:textId="30A153CB" w:rsidR="006D5D4C" w:rsidRDefault="00E46175">
      <w:pPr>
        <w:rPr>
          <w:b/>
        </w:rPr>
      </w:pPr>
      <w:r>
        <w:rPr>
          <w:b/>
        </w:rPr>
        <w:t>ES lygmens priemonių pridėtinė vertė</w:t>
      </w:r>
    </w:p>
    <w:p w14:paraId="41768B1D" w14:textId="1E853401" w:rsidR="006D5D4C" w:rsidRDefault="009007D2">
      <w:pPr>
        <w:pStyle w:val="ListParagraph"/>
        <w:ind w:left="0"/>
        <w:jc w:val="both"/>
        <w:rPr>
          <w:rFonts w:cs="Arial"/>
          <w:color w:val="000000" w:themeColor="text1"/>
        </w:rPr>
      </w:pPr>
      <w:r>
        <w:t>Kai kuriais atvejais valstybių narių valdžios institucijos ėmėsi vienašalių veiksmų dėl endokrininę sistemą ardančių medžiagų prieš ES priimant sprendimą dėl jų.</w:t>
      </w:r>
      <w:r>
        <w:cr/>
      </w:r>
      <w:r>
        <w:br/>
        <w:t xml:space="preserve"> Pavyzdžiui, 2012 m. spalio mėn. Prancūzijos valdžios institucijos uždraudė nuo 2015 m. liepos mėn. naudoti </w:t>
      </w:r>
      <w:hyperlink r:id="rId8" w:history="1">
        <w:r>
          <w:rPr>
            <w:rStyle w:val="Hyperlink"/>
          </w:rPr>
          <w:t>bisfenolį A visose su maistu besiliečiančiose medžiagose</w:t>
        </w:r>
      </w:hyperlink>
      <w:r>
        <w:t>.</w:t>
      </w:r>
      <w:r>
        <w:cr/>
      </w:r>
      <w:r>
        <w:br/>
      </w:r>
    </w:p>
    <w:p w14:paraId="5448B718" w14:textId="79C0E556" w:rsidR="006D5D4C" w:rsidRDefault="009007D2">
      <w:pPr>
        <w:pStyle w:val="ListParagraph"/>
        <w:numPr>
          <w:ilvl w:val="0"/>
          <w:numId w:val="23"/>
        </w:numPr>
        <w:spacing w:after="200" w:line="276" w:lineRule="auto"/>
        <w:contextualSpacing/>
        <w:jc w:val="both"/>
        <w:rPr>
          <w:rFonts w:cs="Arial"/>
          <w:color w:val="000000" w:themeColor="text1"/>
        </w:rPr>
      </w:pPr>
      <w:r>
        <w:t>Ar šios valstybės narės iniciatyvos turėjo įtakos jūsų įmonei?</w:t>
      </w:r>
      <w:r>
        <w:cr/>
      </w:r>
      <w:r>
        <w:br/>
      </w:r>
    </w:p>
    <w:p w14:paraId="04A4FDF9" w14:textId="77777777" w:rsidR="006D5D4C" w:rsidRDefault="00E46175">
      <w:pPr>
        <w:pStyle w:val="ListParagraph"/>
        <w:numPr>
          <w:ilvl w:val="0"/>
          <w:numId w:val="32"/>
        </w:numPr>
        <w:spacing w:after="200" w:line="276" w:lineRule="auto"/>
        <w:contextualSpacing/>
        <w:jc w:val="both"/>
        <w:rPr>
          <w:rFonts w:cs="Arial"/>
          <w:color w:val="000000" w:themeColor="text1"/>
        </w:rPr>
      </w:pPr>
      <w:r>
        <w:t xml:space="preserve">Taip </w:t>
      </w:r>
    </w:p>
    <w:p w14:paraId="48AFDC4C" w14:textId="77777777" w:rsidR="006D5D4C" w:rsidRDefault="00E46175">
      <w:pPr>
        <w:pStyle w:val="ListParagraph"/>
        <w:numPr>
          <w:ilvl w:val="0"/>
          <w:numId w:val="32"/>
        </w:numPr>
        <w:spacing w:after="200" w:line="276" w:lineRule="auto"/>
        <w:contextualSpacing/>
        <w:jc w:val="both"/>
        <w:rPr>
          <w:rFonts w:cs="Arial"/>
          <w:color w:val="000000" w:themeColor="text1"/>
        </w:rPr>
      </w:pPr>
      <w:r>
        <w:t xml:space="preserve">Ne </w:t>
      </w:r>
    </w:p>
    <w:p w14:paraId="7B1B67B3" w14:textId="38435E67" w:rsidR="006D5D4C" w:rsidRDefault="00E30E0F">
      <w:pPr>
        <w:rPr>
          <w:rFonts w:cs="Arial"/>
          <w:color w:val="000000" w:themeColor="text1"/>
        </w:rPr>
      </w:pPr>
      <w:r>
        <w:t>Jei taip, pateikite pavyzdžių paaiškindami, kokį poveikį tai daro jūsų verslui. (ne daugiau kaip 1 000 ženklų)</w:t>
      </w:r>
    </w:p>
    <w:tbl>
      <w:tblPr>
        <w:tblStyle w:val="TableGrid"/>
        <w:tblW w:w="0" w:type="auto"/>
        <w:tblLook w:val="04A0" w:firstRow="1" w:lastRow="0" w:firstColumn="1" w:lastColumn="0" w:noHBand="0" w:noVBand="1"/>
      </w:tblPr>
      <w:tblGrid>
        <w:gridCol w:w="8720"/>
      </w:tblGrid>
      <w:tr w:rsidR="006D5D4C" w14:paraId="6C96B30C" w14:textId="77777777" w:rsidTr="009007D2">
        <w:tc>
          <w:tcPr>
            <w:tcW w:w="8720" w:type="dxa"/>
          </w:tcPr>
          <w:p w14:paraId="38B0AAD6" w14:textId="77777777" w:rsidR="006D5D4C" w:rsidRDefault="006D5D4C">
            <w:pPr>
              <w:rPr>
                <w:rFonts w:cs="Arial"/>
                <w:color w:val="000000" w:themeColor="text1"/>
              </w:rPr>
            </w:pPr>
          </w:p>
        </w:tc>
      </w:tr>
    </w:tbl>
    <w:p w14:paraId="0B8965BF" w14:textId="77777777" w:rsidR="006D5D4C" w:rsidRDefault="006D5D4C">
      <w:pPr>
        <w:rPr>
          <w:rFonts w:cs="Arial"/>
          <w:color w:val="000000" w:themeColor="text1"/>
        </w:rPr>
      </w:pPr>
    </w:p>
    <w:p w14:paraId="52D4417F" w14:textId="63A4C52A" w:rsidR="006D5D4C" w:rsidRDefault="00BE4BCC">
      <w:pPr>
        <w:rPr>
          <w:b/>
        </w:rPr>
      </w:pPr>
      <w:r>
        <w:rPr>
          <w:b/>
        </w:rPr>
        <w:t>Atviras klausimas</w:t>
      </w:r>
    </w:p>
    <w:p w14:paraId="2AF55154" w14:textId="3EEF39B1" w:rsidR="006D5D4C" w:rsidRDefault="002363FC">
      <w:pPr>
        <w:pStyle w:val="ListParagraph"/>
        <w:numPr>
          <w:ilvl w:val="0"/>
          <w:numId w:val="23"/>
        </w:numPr>
        <w:spacing w:after="200" w:line="276" w:lineRule="auto"/>
        <w:contextualSpacing/>
        <w:jc w:val="both"/>
        <w:rPr>
          <w:rFonts w:cs="Arial"/>
          <w:color w:val="000000" w:themeColor="text1"/>
        </w:rPr>
      </w:pPr>
      <w:r>
        <w:t xml:space="preserve">Pateikite papildomų pastabų ar pasiūlymų, kurie, jūsų nuomone, yra svarbūs atliekant </w:t>
      </w:r>
      <w:r w:rsidR="002034AC">
        <w:t>endokrininę sistemą ardančių medžiagų reglamentavimo</w:t>
      </w:r>
      <w:r>
        <w:t xml:space="preserve"> tinkamumo patikrą.</w:t>
      </w:r>
      <w:r>
        <w:cr/>
      </w:r>
      <w:r>
        <w:br/>
        <w:t xml:space="preserve"> Pavyzdžiui, pasiūlymų, kaip padėti MVĮ laikytis reglamentavimo reikalavimų, pasiūlymų, kaip sumažinti bet kokią naštą, kartu išlaikant tikslą sumažinti žmonių ir laukinės gyvūnijos patiriamą endokrininę sistemą ardančių medžiagų ekspoziciją.</w:t>
      </w:r>
      <w:r>
        <w:cr/>
      </w:r>
      <w:r>
        <w:br/>
        <w:t xml:space="preserve"> (Ne daugiau kaip 2000 ženklų)</w:t>
      </w:r>
    </w:p>
    <w:tbl>
      <w:tblPr>
        <w:tblStyle w:val="TableGrid"/>
        <w:tblW w:w="0" w:type="auto"/>
        <w:tblLook w:val="04A0" w:firstRow="1" w:lastRow="0" w:firstColumn="1" w:lastColumn="0" w:noHBand="0" w:noVBand="1"/>
      </w:tblPr>
      <w:tblGrid>
        <w:gridCol w:w="8720"/>
      </w:tblGrid>
      <w:tr w:rsidR="006D5D4C" w14:paraId="439983A6" w14:textId="77777777" w:rsidTr="009007D2">
        <w:tc>
          <w:tcPr>
            <w:tcW w:w="8720" w:type="dxa"/>
          </w:tcPr>
          <w:p w14:paraId="0998BD0E" w14:textId="77777777" w:rsidR="006D5D4C" w:rsidRDefault="006D5D4C">
            <w:pPr>
              <w:rPr>
                <w:b/>
              </w:rPr>
            </w:pPr>
          </w:p>
        </w:tc>
      </w:tr>
    </w:tbl>
    <w:p w14:paraId="24C7455B" w14:textId="77777777" w:rsidR="006D5D4C" w:rsidRDefault="006D5D4C">
      <w:pPr>
        <w:rPr>
          <w:b/>
        </w:rPr>
      </w:pPr>
    </w:p>
    <w:p w14:paraId="2FFD1856" w14:textId="4B696151" w:rsidR="006D5D4C" w:rsidRDefault="00E17C6B">
      <w:pPr>
        <w:rPr>
          <w:rFonts w:ascii="Arial" w:hAnsi="Arial" w:cs="Arial"/>
          <w:color w:val="000000"/>
          <w:sz w:val="18"/>
          <w:szCs w:val="18"/>
        </w:rPr>
      </w:pPr>
      <w:r>
        <w:rPr>
          <w:b/>
        </w:rPr>
        <w:t>Ačiū už dalyvavimą.</w:t>
      </w:r>
    </w:p>
    <w:sectPr w:rsidR="006D5D4C">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E6C6" w14:textId="77777777" w:rsidR="002824C9" w:rsidRDefault="002824C9">
      <w:pPr>
        <w:spacing w:after="0" w:line="240" w:lineRule="auto"/>
      </w:pPr>
      <w:r>
        <w:separator/>
      </w:r>
    </w:p>
  </w:endnote>
  <w:endnote w:type="continuationSeparator" w:id="0">
    <w:p w14:paraId="4084A7D3" w14:textId="77777777" w:rsidR="002824C9" w:rsidRDefault="002824C9">
      <w:pPr>
        <w:spacing w:after="0" w:line="240" w:lineRule="auto"/>
      </w:pPr>
      <w:r>
        <w:continuationSeparator/>
      </w:r>
    </w:p>
  </w:endnote>
  <w:endnote w:type="continuationNotice" w:id="1">
    <w:p w14:paraId="452D4313" w14:textId="77777777" w:rsidR="002824C9" w:rsidRDefault="00282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235461"/>
      <w:docPartObj>
        <w:docPartGallery w:val="Page Numbers (Bottom of Page)"/>
        <w:docPartUnique/>
      </w:docPartObj>
    </w:sdtPr>
    <w:sdtEndPr>
      <w:rPr>
        <w:noProof/>
      </w:rPr>
    </w:sdtEndPr>
    <w:sdtContent>
      <w:p w14:paraId="3E7E224E" w14:textId="58B18A8F" w:rsidR="007F24F6" w:rsidRDefault="007F24F6">
        <w:pPr>
          <w:pStyle w:val="Footer"/>
          <w:jc w:val="right"/>
        </w:pPr>
        <w:r>
          <w:fldChar w:fldCharType="begin"/>
        </w:r>
        <w:r>
          <w:instrText xml:space="preserve"> PAGE   \* MERGEFORMAT </w:instrText>
        </w:r>
        <w:r>
          <w:fldChar w:fldCharType="separate"/>
        </w:r>
        <w:r w:rsidR="00B93BD5">
          <w:rPr>
            <w:noProof/>
          </w:rPr>
          <w:t>7</w:t>
        </w:r>
        <w:r>
          <w:fldChar w:fldCharType="end"/>
        </w:r>
      </w:p>
    </w:sdtContent>
  </w:sdt>
  <w:p w14:paraId="07F6E41B" w14:textId="77777777" w:rsidR="007F24F6" w:rsidRDefault="007F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A655A" w14:textId="77777777" w:rsidR="002824C9" w:rsidRDefault="002824C9">
      <w:pPr>
        <w:spacing w:after="0" w:line="240" w:lineRule="auto"/>
      </w:pPr>
      <w:r>
        <w:separator/>
      </w:r>
    </w:p>
  </w:footnote>
  <w:footnote w:type="continuationSeparator" w:id="0">
    <w:p w14:paraId="31845FFA" w14:textId="77777777" w:rsidR="002824C9" w:rsidRDefault="002824C9">
      <w:pPr>
        <w:spacing w:after="0" w:line="240" w:lineRule="auto"/>
      </w:pPr>
      <w:r>
        <w:continuationSeparator/>
      </w:r>
    </w:p>
  </w:footnote>
  <w:footnote w:type="continuationNotice" w:id="1">
    <w:p w14:paraId="6BFADEA1" w14:textId="77777777" w:rsidR="002824C9" w:rsidRDefault="002824C9">
      <w:pPr>
        <w:spacing w:after="0" w:line="240" w:lineRule="auto"/>
      </w:pPr>
    </w:p>
  </w:footnote>
  <w:footnote w:id="2">
    <w:p w14:paraId="6D68B702" w14:textId="77777777" w:rsidR="006D5D4C" w:rsidRDefault="007F24F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1" w:history="1">
        <w:r>
          <w:rPr>
            <w:rStyle w:val="Hyperlink"/>
            <w:rFonts w:ascii="Times New Roman" w:hAnsi="Times New Roman"/>
          </w:rPr>
          <w:t>https://ec.europa.eu/info/law/better-regulation/initiatives/ares-2019-2470647_lt</w:t>
        </w:r>
      </w:hyperlink>
    </w:p>
  </w:footnote>
  <w:footnote w:id="3">
    <w:p w14:paraId="2049A8CA" w14:textId="77777777" w:rsidR="006D5D4C" w:rsidRDefault="007F24F6">
      <w:pPr>
        <w:pStyle w:val="FootnoteText"/>
      </w:pPr>
      <w:r>
        <w:rPr>
          <w:rStyle w:val="FootnoteReference"/>
        </w:rPr>
        <w:footnoteRef/>
      </w:r>
      <w:r>
        <w:t> Gamintojas – ES įsisteigęs fizinis arba juridinis asmuo, kuris ES gamina cheminę medžiagą.</w:t>
      </w:r>
    </w:p>
  </w:footnote>
  <w:footnote w:id="4">
    <w:p w14:paraId="44DD1457" w14:textId="77777777" w:rsidR="006D5D4C" w:rsidRDefault="007F24F6">
      <w:pPr>
        <w:pStyle w:val="FootnoteText"/>
      </w:pPr>
      <w:r>
        <w:rPr>
          <w:rStyle w:val="FootnoteReference"/>
        </w:rPr>
        <w:footnoteRef/>
      </w:r>
      <w:r>
        <w:t> Importuotojas — ES įsisteigęs fizinis arba juridinis asmuo, atsakingas už importą.</w:t>
      </w:r>
    </w:p>
  </w:footnote>
  <w:footnote w:id="5">
    <w:p w14:paraId="706227F7" w14:textId="1F029483" w:rsidR="006D5D4C" w:rsidRDefault="007F24F6">
      <w:pPr>
        <w:pStyle w:val="FootnoteText"/>
      </w:pPr>
      <w:r>
        <w:rPr>
          <w:rStyle w:val="FootnoteReference"/>
        </w:rPr>
        <w:footnoteRef/>
      </w:r>
      <w:r>
        <w:t xml:space="preserve"> Mišinio ruošėjai gamina mišinius (pvz., dažus, lipalus, ploviklius, biocidus, augalų apsaugos produktus), kurie paprastai tiekiami tolesnei grandžiai. </w:t>
      </w:r>
    </w:p>
  </w:footnote>
  <w:footnote w:id="6">
    <w:p w14:paraId="00A4312F" w14:textId="77777777" w:rsidR="006D5D4C" w:rsidRDefault="007F24F6">
      <w:pPr>
        <w:pStyle w:val="FootnoteText"/>
      </w:pPr>
      <w:r>
        <w:rPr>
          <w:rStyle w:val="FootnoteReference"/>
        </w:rPr>
        <w:footnoteRef/>
      </w:r>
      <w:r>
        <w:t xml:space="preserve"> Platintojas – ES įsisteigęs fizinis arba juridinis asmuo, įskaitant mažmenininkus, kuris tik sandėliuoja ir tiekia rinkai tretiesiems asmenims skirtą cheminę medžiagą – gryną ar esančią mišinio sudėtyje.</w:t>
      </w:r>
    </w:p>
  </w:footnote>
  <w:footnote w:id="7">
    <w:p w14:paraId="35FF94B1" w14:textId="77777777" w:rsidR="006D5D4C" w:rsidRDefault="007F24F6">
      <w:pPr>
        <w:pStyle w:val="FootnoteText"/>
      </w:pPr>
      <w:r>
        <w:rPr>
          <w:rStyle w:val="FootnoteReference"/>
        </w:rPr>
        <w:footnoteRef/>
      </w:r>
      <w:r>
        <w:t> ES nepriklausantys tiekėjai gali paskirti vienintelį atstovą, kuris veiktų kaip ES įsteigtas registruotojas.</w:t>
      </w:r>
    </w:p>
  </w:footnote>
  <w:footnote w:id="8">
    <w:p w14:paraId="28F8221F" w14:textId="5EBA4FA8" w:rsidR="006D5D4C" w:rsidRDefault="007F24F6">
      <w:pPr>
        <w:pStyle w:val="FootnoteText"/>
      </w:pPr>
      <w:r>
        <w:rPr>
          <w:rStyle w:val="FootnoteReference"/>
        </w:rPr>
        <w:footnoteRef/>
      </w:r>
      <w:r>
        <w:t> </w:t>
      </w:r>
      <w:r w:rsidR="00A1400F">
        <w:t>T</w:t>
      </w:r>
      <w:r>
        <w:t>olesnis naudotojas (pramoninis arba profesionalus naudotojas) – ES įsisteigęs fizinis arba juridinis asmuo, bet ne gamintojas ar importuotojas, naudojantis cheminę medžiagą – atskirą ar esančią mišinio sudėtyje – savo pramoninėje ar profesionalioje veikloje. Pramoniniai naudotojai yra darbuotojai, kurie cheminius produktus naudoja dideliame ar mažame pramonės objekte. Profesionalūs naudotojai yra darbuotojai, kurie cheminius produktus naudoja ne pramoninėje aplinkoje (pvz., dirbtuvėse, kliento objekte, švietimo ar sveikatos priežiūros įstaigoje), kaip antai statybos ir mobilios valymo bendrovės ar profesionalūs dažytojai.</w:t>
      </w:r>
    </w:p>
  </w:footnote>
  <w:footnote w:id="9">
    <w:p w14:paraId="4264FDDA" w14:textId="76289657" w:rsidR="006D5D4C" w:rsidRDefault="007F24F6">
      <w:pPr>
        <w:pStyle w:val="FootnoteText"/>
      </w:pPr>
      <w:r>
        <w:rPr>
          <w:rStyle w:val="FootnoteReference"/>
        </w:rPr>
        <w:footnoteRef/>
      </w:r>
      <w:r>
        <w:t xml:space="preserve"> Gaminys – objektas, kuriam suteikta speciali forma, paviršius ar dizainas, pagal kurį labiau, nei pagal jo cheminę sudėtį, nustatoma jo funkcija (pvz., drabužiai, baldai, elektronikos prietaisai ir beveik visi šiuolaikinio gyvenimo daiktai).</w:t>
      </w:r>
    </w:p>
  </w:footnote>
  <w:footnote w:id="10">
    <w:p w14:paraId="10EC7682" w14:textId="5AB78B9C" w:rsidR="006D5D4C" w:rsidRDefault="00E64440">
      <w:pPr>
        <w:pStyle w:val="FootnoteText"/>
      </w:pPr>
      <w:r>
        <w:rPr>
          <w:rStyle w:val="FootnoteReference"/>
        </w:rPr>
        <w:footnoteRef/>
      </w:r>
      <w:r>
        <w:t xml:space="preserve"> Endokrininę sistemą ardanti medžiaga apibrėžiama kaip </w:t>
      </w:r>
      <w:r>
        <w:rPr>
          <w:i/>
        </w:rPr>
        <w:t>„egzogeninė medžiaga ar mišinys, kuris pakeičia endokrininės sistemos funkciją (-as) ir taip sukelia nepageidaujamą poveikį sveiko individo organizmo arba jo palikuonių arba jo (sub)populiacijų sveikatai</w:t>
      </w:r>
      <w:r>
        <w:t>“.</w:t>
      </w:r>
    </w:p>
    <w:p w14:paraId="78184D85" w14:textId="07D750F6" w:rsidR="006D5D4C" w:rsidRDefault="006D5D4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BE0E" w14:textId="33BAB4BB" w:rsidR="00A40737" w:rsidRDefault="00A40737" w:rsidP="00A40737">
    <w:pPr>
      <w:pStyle w:val="Header"/>
    </w:pPr>
    <w:r>
      <w:t xml:space="preserve">PROJEKTAS ED FC Viešoji apklausa 4-a redakcija </w:t>
    </w:r>
    <w:r>
      <w:tab/>
      <w:t>2019 m. gruodžio 10 d.</w:t>
    </w:r>
  </w:p>
  <w:p w14:paraId="30C5BF95" w14:textId="5D124A50" w:rsidR="00A40737" w:rsidRDefault="00A40737">
    <w:pPr>
      <w:pStyle w:val="Header"/>
    </w:pPr>
  </w:p>
  <w:p w14:paraId="148B65EB" w14:textId="77777777" w:rsidR="007F24F6" w:rsidRDefault="007F2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257"/>
    <w:multiLevelType w:val="hybridMultilevel"/>
    <w:tmpl w:val="3A92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0227"/>
    <w:multiLevelType w:val="multilevel"/>
    <w:tmpl w:val="A3A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74B08"/>
    <w:multiLevelType w:val="hybridMultilevel"/>
    <w:tmpl w:val="23CA4F20"/>
    <w:lvl w:ilvl="0" w:tplc="40C888DE">
      <w:start w:val="1"/>
      <w:numFmt w:val="lowerRoman"/>
      <w:lvlText w:val="%1)"/>
      <w:lvlJc w:val="left"/>
      <w:pPr>
        <w:ind w:left="768" w:hanging="72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 w15:restartNumberingAfterBreak="0">
    <w:nsid w:val="06E658A4"/>
    <w:multiLevelType w:val="hybridMultilevel"/>
    <w:tmpl w:val="5EB249E2"/>
    <w:lvl w:ilvl="0" w:tplc="0809000F">
      <w:start w:val="1"/>
      <w:numFmt w:val="decimal"/>
      <w:lvlText w:val="%1."/>
      <w:lvlJc w:val="left"/>
      <w:pPr>
        <w:ind w:left="644" w:hanging="360"/>
      </w:pPr>
    </w:lvl>
    <w:lvl w:ilvl="1" w:tplc="F0463FB6">
      <w:numFmt w:val="bullet"/>
      <w:lvlText w:val="•"/>
      <w:lvlJc w:val="left"/>
      <w:pPr>
        <w:ind w:left="1724" w:hanging="720"/>
      </w:pPr>
      <w:rPr>
        <w:rFonts w:ascii="Calibri" w:eastAsiaTheme="minorHAnsi" w:hAnsi="Calibri" w:cs="Aria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81B288D"/>
    <w:multiLevelType w:val="hybridMultilevel"/>
    <w:tmpl w:val="5EB249E2"/>
    <w:lvl w:ilvl="0" w:tplc="0809000F">
      <w:start w:val="1"/>
      <w:numFmt w:val="decimal"/>
      <w:lvlText w:val="%1."/>
      <w:lvlJc w:val="left"/>
      <w:pPr>
        <w:ind w:left="644" w:hanging="360"/>
      </w:pPr>
    </w:lvl>
    <w:lvl w:ilvl="1" w:tplc="F0463FB6">
      <w:numFmt w:val="bullet"/>
      <w:lvlText w:val="•"/>
      <w:lvlJc w:val="left"/>
      <w:pPr>
        <w:ind w:left="1724" w:hanging="720"/>
      </w:pPr>
      <w:rPr>
        <w:rFonts w:ascii="Calibri" w:eastAsiaTheme="minorHAnsi" w:hAnsi="Calibri" w:cs="Aria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B304F20"/>
    <w:multiLevelType w:val="hybridMultilevel"/>
    <w:tmpl w:val="0FD6DFE6"/>
    <w:lvl w:ilvl="0" w:tplc="BEA4154A">
      <w:start w:val="5"/>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F95907"/>
    <w:multiLevelType w:val="hybridMultilevel"/>
    <w:tmpl w:val="6770C4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82FE5"/>
    <w:multiLevelType w:val="hybridMultilevel"/>
    <w:tmpl w:val="BC0EE2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E434DE"/>
    <w:multiLevelType w:val="hybridMultilevel"/>
    <w:tmpl w:val="FD3207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080E10"/>
    <w:multiLevelType w:val="hybridMultilevel"/>
    <w:tmpl w:val="6204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2A4393"/>
    <w:multiLevelType w:val="hybridMultilevel"/>
    <w:tmpl w:val="40DC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A271CE"/>
    <w:multiLevelType w:val="hybridMultilevel"/>
    <w:tmpl w:val="6C22BA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40172B5"/>
    <w:multiLevelType w:val="multilevel"/>
    <w:tmpl w:val="70D06B28"/>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upperLetter"/>
      <w:lvlText w:val="%4."/>
      <w:lvlJc w:val="left"/>
      <w:pPr>
        <w:ind w:left="1574" w:hanging="864"/>
      </w:pPr>
    </w:lvl>
    <w:lvl w:ilvl="4">
      <w:start w:val="1"/>
      <w:numFmt w:val="decimal"/>
      <w:lvlText w:val="%5)"/>
      <w:lvlJc w:val="left"/>
      <w:pPr>
        <w:ind w:left="1008" w:hanging="1008"/>
      </w:pPr>
    </w:lvl>
    <w:lvl w:ilvl="5">
      <w:start w:val="1"/>
      <w:numFmt w:val="lowerLetter"/>
      <w:lvlText w:val="%6)"/>
      <w:lvlJc w:val="left"/>
      <w:pPr>
        <w:ind w:left="6397" w:hanging="1152"/>
      </w:pPr>
    </w:lvl>
    <w:lvl w:ilvl="6">
      <w:start w:val="1"/>
      <w:numFmt w:val="lowerLetter"/>
      <w:lvlText w:val="%7)"/>
      <w:lvlJc w:val="left"/>
      <w:pPr>
        <w:ind w:left="1296" w:hanging="1296"/>
      </w:pPr>
    </w:lvl>
    <w:lvl w:ilvl="7">
      <w:start w:val="1"/>
      <w:numFmt w:val="lowerRoman"/>
      <w:lvlText w:val="%8."/>
      <w:lvlJc w:val="right"/>
      <w:pPr>
        <w:ind w:left="1440" w:hanging="1440"/>
      </w:pPr>
    </w:lvl>
    <w:lvl w:ilvl="8">
      <w:start w:val="1"/>
      <w:numFmt w:val="decimal"/>
      <w:lvlText w:val="%1.%2.%3.%4.%5.%6.%7.%8.%9"/>
      <w:lvlJc w:val="left"/>
      <w:pPr>
        <w:ind w:left="1584" w:hanging="1584"/>
      </w:pPr>
    </w:lvl>
  </w:abstractNum>
  <w:abstractNum w:abstractNumId="13" w15:restartNumberingAfterBreak="0">
    <w:nsid w:val="248671B5"/>
    <w:multiLevelType w:val="hybridMultilevel"/>
    <w:tmpl w:val="BE7AC61A"/>
    <w:lvl w:ilvl="0" w:tplc="08090001">
      <w:start w:val="1"/>
      <w:numFmt w:val="bullet"/>
      <w:lvlText w:val=""/>
      <w:lvlJc w:val="left"/>
      <w:pPr>
        <w:ind w:left="1080" w:hanging="360"/>
      </w:pPr>
      <w:rPr>
        <w:rFonts w:ascii="Symbol" w:hAnsi="Symbol" w:hint="default"/>
      </w:rPr>
    </w:lvl>
    <w:lvl w:ilvl="1" w:tplc="86AE55B0">
      <w:start w:val="3"/>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446B6D"/>
    <w:multiLevelType w:val="hybridMultilevel"/>
    <w:tmpl w:val="D0303AB2"/>
    <w:lvl w:ilvl="0" w:tplc="939E98D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84507C9"/>
    <w:multiLevelType w:val="hybridMultilevel"/>
    <w:tmpl w:val="E64A37A2"/>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285458"/>
    <w:multiLevelType w:val="hybridMultilevel"/>
    <w:tmpl w:val="E7D21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E8725E"/>
    <w:multiLevelType w:val="hybridMultilevel"/>
    <w:tmpl w:val="98A6A1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E012A12"/>
    <w:multiLevelType w:val="hybridMultilevel"/>
    <w:tmpl w:val="D2F801CA"/>
    <w:lvl w:ilvl="0" w:tplc="7E36824A">
      <w:start w:val="3"/>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9" w15:restartNumberingAfterBreak="0">
    <w:nsid w:val="389E4A2A"/>
    <w:multiLevelType w:val="hybridMultilevel"/>
    <w:tmpl w:val="C58ACB72"/>
    <w:lvl w:ilvl="0" w:tplc="08090001">
      <w:start w:val="1"/>
      <w:numFmt w:val="bullet"/>
      <w:lvlText w:val=""/>
      <w:lvlJc w:val="left"/>
      <w:pPr>
        <w:ind w:left="720" w:hanging="360"/>
      </w:pPr>
      <w:rPr>
        <w:rFonts w:ascii="Symbol" w:hAnsi="Symbol" w:hint="default"/>
      </w:rPr>
    </w:lvl>
    <w:lvl w:ilvl="1" w:tplc="8EC6DA2A">
      <w:start w:val="3"/>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A628B"/>
    <w:multiLevelType w:val="hybridMultilevel"/>
    <w:tmpl w:val="ED7C3E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15555F"/>
    <w:multiLevelType w:val="hybridMultilevel"/>
    <w:tmpl w:val="AB9E3F5A"/>
    <w:lvl w:ilvl="0" w:tplc="C076F7A2">
      <w:start w:val="1"/>
      <w:numFmt w:val="bullet"/>
      <w:lvlText w:val=""/>
      <w:lvlJc w:val="left"/>
      <w:pPr>
        <w:ind w:left="1474" w:hanging="39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E6FF7"/>
    <w:multiLevelType w:val="hybridMultilevel"/>
    <w:tmpl w:val="71265152"/>
    <w:lvl w:ilvl="0" w:tplc="C076F7A2">
      <w:start w:val="1"/>
      <w:numFmt w:val="bullet"/>
      <w:lvlText w:val=""/>
      <w:lvlJc w:val="left"/>
      <w:pPr>
        <w:ind w:left="2194" w:hanging="394"/>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D7021F3"/>
    <w:multiLevelType w:val="hybridMultilevel"/>
    <w:tmpl w:val="CFD834E2"/>
    <w:lvl w:ilvl="0" w:tplc="322C3604">
      <w:start w:val="1"/>
      <w:numFmt w:val="decimal"/>
      <w:pStyle w:val="Numbering"/>
      <w:lvlText w:val="%1."/>
      <w:lvlJc w:val="left"/>
      <w:pPr>
        <w:ind w:left="360" w:hanging="360"/>
      </w:pPr>
      <w:rPr>
        <w:rFonts w:hint="default"/>
        <w:b w:val="0"/>
        <w:i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701775"/>
    <w:multiLevelType w:val="hybridMultilevel"/>
    <w:tmpl w:val="47FA9472"/>
    <w:lvl w:ilvl="0" w:tplc="2D9E4A6C">
      <w:start w:val="12"/>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3A561A"/>
    <w:multiLevelType w:val="hybridMultilevel"/>
    <w:tmpl w:val="55DAF3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4D1B83"/>
    <w:multiLevelType w:val="hybridMultilevel"/>
    <w:tmpl w:val="49F809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3EF588A"/>
    <w:multiLevelType w:val="hybridMultilevel"/>
    <w:tmpl w:val="BB66E7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D662E2"/>
    <w:multiLevelType w:val="hybridMultilevel"/>
    <w:tmpl w:val="A63007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207F6"/>
    <w:multiLevelType w:val="hybridMultilevel"/>
    <w:tmpl w:val="4E745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3070EB"/>
    <w:multiLevelType w:val="multilevel"/>
    <w:tmpl w:val="F8F681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upperLetter"/>
      <w:pStyle w:val="Heading4"/>
      <w:lvlText w:val="%4."/>
      <w:lvlJc w:val="left"/>
      <w:pPr>
        <w:ind w:left="1574" w:hanging="864"/>
      </w:pPr>
    </w:lvl>
    <w:lvl w:ilvl="4">
      <w:start w:val="1"/>
      <w:numFmt w:val="decimal"/>
      <w:pStyle w:val="Heading5"/>
      <w:lvlText w:val="%5)"/>
      <w:lvlJc w:val="left"/>
      <w:pPr>
        <w:ind w:left="1008" w:hanging="1008"/>
      </w:pPr>
    </w:lvl>
    <w:lvl w:ilvl="5">
      <w:start w:val="1"/>
      <w:numFmt w:val="lowerLetter"/>
      <w:pStyle w:val="Heading6"/>
      <w:lvlText w:val="%6)"/>
      <w:lvlJc w:val="left"/>
      <w:pPr>
        <w:ind w:left="6397" w:hanging="1152"/>
      </w:pPr>
    </w:lvl>
    <w:lvl w:ilvl="6">
      <w:start w:val="1"/>
      <w:numFmt w:val="lowerLetter"/>
      <w:lvlText w:val="%7)"/>
      <w:lvlJc w:val="left"/>
      <w:pPr>
        <w:ind w:left="1296" w:hanging="1296"/>
      </w:pPr>
    </w:lvl>
    <w:lvl w:ilvl="7">
      <w:start w:val="1"/>
      <w:numFmt w:val="lowerRoman"/>
      <w:pStyle w:val="Heading8"/>
      <w:lvlText w:val="%8."/>
      <w:lvlJc w:val="right"/>
      <w:pPr>
        <w:ind w:left="1440" w:hanging="1440"/>
      </w:pPr>
    </w:lvl>
    <w:lvl w:ilvl="8">
      <w:start w:val="1"/>
      <w:numFmt w:val="decimal"/>
      <w:pStyle w:val="Heading9"/>
      <w:lvlText w:val="%1.%2.%3.%4.%5.%6.%7.%8.%9"/>
      <w:lvlJc w:val="left"/>
      <w:pPr>
        <w:ind w:left="1584" w:hanging="1584"/>
      </w:pPr>
    </w:lvl>
  </w:abstractNum>
  <w:abstractNum w:abstractNumId="31" w15:restartNumberingAfterBreak="0">
    <w:nsid w:val="527C2AB2"/>
    <w:multiLevelType w:val="multilevel"/>
    <w:tmpl w:val="70D06B28"/>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upperLetter"/>
      <w:lvlText w:val="%4."/>
      <w:lvlJc w:val="left"/>
      <w:pPr>
        <w:ind w:left="1574" w:hanging="864"/>
      </w:pPr>
    </w:lvl>
    <w:lvl w:ilvl="4">
      <w:start w:val="1"/>
      <w:numFmt w:val="decimal"/>
      <w:lvlText w:val="%5)"/>
      <w:lvlJc w:val="left"/>
      <w:pPr>
        <w:ind w:left="1008" w:hanging="1008"/>
      </w:pPr>
    </w:lvl>
    <w:lvl w:ilvl="5">
      <w:start w:val="1"/>
      <w:numFmt w:val="lowerLetter"/>
      <w:lvlText w:val="%6)"/>
      <w:lvlJc w:val="left"/>
      <w:pPr>
        <w:ind w:left="6397" w:hanging="1152"/>
      </w:pPr>
    </w:lvl>
    <w:lvl w:ilvl="6">
      <w:start w:val="1"/>
      <w:numFmt w:val="lowerLetter"/>
      <w:lvlText w:val="%7)"/>
      <w:lvlJc w:val="left"/>
      <w:pPr>
        <w:ind w:left="1296" w:hanging="1296"/>
      </w:pPr>
    </w:lvl>
    <w:lvl w:ilvl="7">
      <w:start w:val="1"/>
      <w:numFmt w:val="lowerRoman"/>
      <w:lvlText w:val="%8."/>
      <w:lvlJc w:val="right"/>
      <w:pPr>
        <w:ind w:left="1440" w:hanging="1440"/>
      </w:pPr>
    </w:lvl>
    <w:lvl w:ilvl="8">
      <w:start w:val="1"/>
      <w:numFmt w:val="decimal"/>
      <w:lvlText w:val="%1.%2.%3.%4.%5.%6.%7.%8.%9"/>
      <w:lvlJc w:val="left"/>
      <w:pPr>
        <w:ind w:left="1584" w:hanging="1584"/>
      </w:pPr>
    </w:lvl>
  </w:abstractNum>
  <w:abstractNum w:abstractNumId="32" w15:restartNumberingAfterBreak="0">
    <w:nsid w:val="52B94BE2"/>
    <w:multiLevelType w:val="hybridMultilevel"/>
    <w:tmpl w:val="E5C2E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2CB0718"/>
    <w:multiLevelType w:val="hybridMultilevel"/>
    <w:tmpl w:val="8FC4B7B4"/>
    <w:lvl w:ilvl="0" w:tplc="08090001">
      <w:start w:val="1"/>
      <w:numFmt w:val="bullet"/>
      <w:lvlText w:val=""/>
      <w:lvlJc w:val="left"/>
      <w:pPr>
        <w:ind w:left="768" w:hanging="72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4" w15:restartNumberingAfterBreak="0">
    <w:nsid w:val="54CD0289"/>
    <w:multiLevelType w:val="hybridMultilevel"/>
    <w:tmpl w:val="EB22FF26"/>
    <w:lvl w:ilvl="0" w:tplc="C076F7A2">
      <w:start w:val="1"/>
      <w:numFmt w:val="bullet"/>
      <w:lvlText w:val=""/>
      <w:lvlJc w:val="left"/>
      <w:pPr>
        <w:ind w:left="2194" w:hanging="39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B7440FB"/>
    <w:multiLevelType w:val="hybridMultilevel"/>
    <w:tmpl w:val="58180882"/>
    <w:lvl w:ilvl="0" w:tplc="3578C2D0">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D63AA1"/>
    <w:multiLevelType w:val="hybridMultilevel"/>
    <w:tmpl w:val="63563B18"/>
    <w:lvl w:ilvl="0" w:tplc="08090011">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664FAC"/>
    <w:multiLevelType w:val="hybridMultilevel"/>
    <w:tmpl w:val="A0208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1D32874"/>
    <w:multiLevelType w:val="multilevel"/>
    <w:tmpl w:val="70D06B28"/>
    <w:lvl w:ilvl="0">
      <w:start w:val="1"/>
      <w:numFmt w:val="decimal"/>
      <w:lvlText w:val="%1)"/>
      <w:lvlJc w:val="left"/>
      <w:pPr>
        <w:ind w:left="432" w:hanging="432"/>
      </w:pPr>
    </w:lvl>
    <w:lvl w:ilvl="1">
      <w:start w:val="1"/>
      <w:numFmt w:val="decimal"/>
      <w:lvlText w:val="%2."/>
      <w:lvlJc w:val="left"/>
      <w:pPr>
        <w:ind w:left="576" w:hanging="576"/>
      </w:pPr>
      <w:rPr>
        <w:rFonts w:hint="default"/>
      </w:rPr>
    </w:lvl>
    <w:lvl w:ilvl="2">
      <w:start w:val="1"/>
      <w:numFmt w:val="decimal"/>
      <w:lvlText w:val="%1.%2.%3"/>
      <w:lvlJc w:val="left"/>
      <w:pPr>
        <w:ind w:left="720" w:hanging="720"/>
      </w:pPr>
    </w:lvl>
    <w:lvl w:ilvl="3">
      <w:start w:val="1"/>
      <w:numFmt w:val="upperLetter"/>
      <w:lvlText w:val="%4."/>
      <w:lvlJc w:val="left"/>
      <w:pPr>
        <w:ind w:left="1574" w:hanging="864"/>
      </w:pPr>
    </w:lvl>
    <w:lvl w:ilvl="4">
      <w:start w:val="1"/>
      <w:numFmt w:val="decimal"/>
      <w:lvlText w:val="%5)"/>
      <w:lvlJc w:val="left"/>
      <w:pPr>
        <w:ind w:left="1008" w:hanging="1008"/>
      </w:pPr>
    </w:lvl>
    <w:lvl w:ilvl="5">
      <w:start w:val="1"/>
      <w:numFmt w:val="lowerLetter"/>
      <w:lvlText w:val="%6)"/>
      <w:lvlJc w:val="left"/>
      <w:pPr>
        <w:ind w:left="6397" w:hanging="1152"/>
      </w:pPr>
    </w:lvl>
    <w:lvl w:ilvl="6">
      <w:start w:val="1"/>
      <w:numFmt w:val="lowerLetter"/>
      <w:lvlText w:val="%7)"/>
      <w:lvlJc w:val="left"/>
      <w:pPr>
        <w:ind w:left="1296" w:hanging="1296"/>
      </w:pPr>
    </w:lvl>
    <w:lvl w:ilvl="7">
      <w:start w:val="1"/>
      <w:numFmt w:val="lowerRoman"/>
      <w:lvlText w:val="%8."/>
      <w:lvlJc w:val="right"/>
      <w:pPr>
        <w:ind w:left="1440" w:hanging="1440"/>
      </w:pPr>
    </w:lvl>
    <w:lvl w:ilvl="8">
      <w:start w:val="1"/>
      <w:numFmt w:val="decimal"/>
      <w:lvlText w:val="%1.%2.%3.%4.%5.%6.%7.%8.%9"/>
      <w:lvlJc w:val="left"/>
      <w:pPr>
        <w:ind w:left="1584" w:hanging="1584"/>
      </w:pPr>
    </w:lvl>
  </w:abstractNum>
  <w:abstractNum w:abstractNumId="39" w15:restartNumberingAfterBreak="0">
    <w:nsid w:val="63B02E03"/>
    <w:multiLevelType w:val="multilevel"/>
    <w:tmpl w:val="BE8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71515E"/>
    <w:multiLevelType w:val="hybridMultilevel"/>
    <w:tmpl w:val="0BCCEB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BF7CE3"/>
    <w:multiLevelType w:val="hybridMultilevel"/>
    <w:tmpl w:val="A1FA9C0E"/>
    <w:lvl w:ilvl="0" w:tplc="C076F7A2">
      <w:start w:val="1"/>
      <w:numFmt w:val="bullet"/>
      <w:lvlText w:val=""/>
      <w:lvlJc w:val="left"/>
      <w:pPr>
        <w:ind w:left="1474" w:hanging="394"/>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380BB8"/>
    <w:multiLevelType w:val="hybridMultilevel"/>
    <w:tmpl w:val="A4ACFD74"/>
    <w:lvl w:ilvl="0" w:tplc="08090001">
      <w:start w:val="1"/>
      <w:numFmt w:val="bullet"/>
      <w:lvlText w:val=""/>
      <w:lvlJc w:val="left"/>
      <w:pPr>
        <w:ind w:left="768" w:hanging="720"/>
      </w:pPr>
      <w:rPr>
        <w:rFonts w:ascii="Symbol" w:hAnsi="Symbol"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43" w15:restartNumberingAfterBreak="0">
    <w:nsid w:val="6E8E1465"/>
    <w:multiLevelType w:val="hybridMultilevel"/>
    <w:tmpl w:val="3A2C2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FA613B0"/>
    <w:multiLevelType w:val="hybridMultilevel"/>
    <w:tmpl w:val="874046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463CC8"/>
    <w:multiLevelType w:val="multilevel"/>
    <w:tmpl w:val="89D89D04"/>
    <w:lvl w:ilvl="0">
      <w:start w:val="9"/>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1574" w:hanging="864"/>
      </w:pPr>
      <w:rPr>
        <w:rFonts w:hint="default"/>
      </w:rPr>
    </w:lvl>
    <w:lvl w:ilvl="4">
      <w:start w:val="1"/>
      <w:numFmt w:val="decimal"/>
      <w:lvlText w:val="%5)"/>
      <w:lvlJc w:val="left"/>
      <w:pPr>
        <w:ind w:left="1008" w:hanging="1008"/>
      </w:pPr>
      <w:rPr>
        <w:rFonts w:hint="default"/>
      </w:rPr>
    </w:lvl>
    <w:lvl w:ilvl="5">
      <w:start w:val="1"/>
      <w:numFmt w:val="lowerLetter"/>
      <w:lvlText w:val="%6)"/>
      <w:lvlJc w:val="left"/>
      <w:pPr>
        <w:ind w:left="6397" w:hanging="1152"/>
      </w:pPr>
      <w:rPr>
        <w:rFonts w:hint="default"/>
      </w:rPr>
    </w:lvl>
    <w:lvl w:ilvl="6">
      <w:start w:val="1"/>
      <w:numFmt w:val="lowerLetter"/>
      <w:lvlText w:val="%7)"/>
      <w:lvlJc w:val="left"/>
      <w:pPr>
        <w:ind w:left="1296" w:hanging="1296"/>
      </w:pPr>
      <w:rPr>
        <w:rFonts w:hint="default"/>
      </w:rPr>
    </w:lvl>
    <w:lvl w:ilvl="7">
      <w:start w:val="1"/>
      <w:numFmt w:val="lowerRoman"/>
      <w:lvlText w:val="%8."/>
      <w:lvlJc w:val="righ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71A66CE"/>
    <w:multiLevelType w:val="hybridMultilevel"/>
    <w:tmpl w:val="91CE2618"/>
    <w:lvl w:ilvl="0" w:tplc="08090017">
      <w:start w:val="1"/>
      <w:numFmt w:val="lowerLetter"/>
      <w:lvlText w:val="%1)"/>
      <w:lvlJc w:val="left"/>
      <w:pPr>
        <w:ind w:left="720" w:hanging="360"/>
      </w:pPr>
      <w:rPr>
        <w:rFonts w:hint="default"/>
      </w:rPr>
    </w:lvl>
    <w:lvl w:ilvl="1" w:tplc="C50A85E0">
      <w:start w:val="3"/>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47215A"/>
    <w:multiLevelType w:val="hybridMultilevel"/>
    <w:tmpl w:val="66067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5"/>
  </w:num>
  <w:num w:numId="4">
    <w:abstractNumId w:val="27"/>
  </w:num>
  <w:num w:numId="5">
    <w:abstractNumId w:val="19"/>
  </w:num>
  <w:num w:numId="6">
    <w:abstractNumId w:val="0"/>
  </w:num>
  <w:num w:numId="7">
    <w:abstractNumId w:val="4"/>
  </w:num>
  <w:num w:numId="8">
    <w:abstractNumId w:val="9"/>
  </w:num>
  <w:num w:numId="9">
    <w:abstractNumId w:val="29"/>
  </w:num>
  <w:num w:numId="10">
    <w:abstractNumId w:val="3"/>
  </w:num>
  <w:num w:numId="11">
    <w:abstractNumId w:val="30"/>
  </w:num>
  <w:num w:numId="12">
    <w:abstractNumId w:val="1"/>
  </w:num>
  <w:num w:numId="13">
    <w:abstractNumId w:val="39"/>
  </w:num>
  <w:num w:numId="14">
    <w:abstractNumId w:val="36"/>
  </w:num>
  <w:num w:numId="15">
    <w:abstractNumId w:val="47"/>
  </w:num>
  <w:num w:numId="16">
    <w:abstractNumId w:val="28"/>
  </w:num>
  <w:num w:numId="17">
    <w:abstractNumId w:val="41"/>
  </w:num>
  <w:num w:numId="18">
    <w:abstractNumId w:val="25"/>
  </w:num>
  <w:num w:numId="19">
    <w:abstractNumId w:val="21"/>
  </w:num>
  <w:num w:numId="20">
    <w:abstractNumId w:val="8"/>
  </w:num>
  <w:num w:numId="21">
    <w:abstractNumId w:val="20"/>
  </w:num>
  <w:num w:numId="22">
    <w:abstractNumId w:val="13"/>
  </w:num>
  <w:num w:numId="23">
    <w:abstractNumId w:val="45"/>
  </w:num>
  <w:num w:numId="24">
    <w:abstractNumId w:val="44"/>
  </w:num>
  <w:num w:numId="25">
    <w:abstractNumId w:val="15"/>
  </w:num>
  <w:num w:numId="26">
    <w:abstractNumId w:val="7"/>
  </w:num>
  <w:num w:numId="27">
    <w:abstractNumId w:val="46"/>
  </w:num>
  <w:num w:numId="28">
    <w:abstractNumId w:val="34"/>
  </w:num>
  <w:num w:numId="29">
    <w:abstractNumId w:val="22"/>
  </w:num>
  <w:num w:numId="30">
    <w:abstractNumId w:val="43"/>
  </w:num>
  <w:num w:numId="31">
    <w:abstractNumId w:val="17"/>
  </w:num>
  <w:num w:numId="32">
    <w:abstractNumId w:val="26"/>
  </w:num>
  <w:num w:numId="33">
    <w:abstractNumId w:val="2"/>
  </w:num>
  <w:num w:numId="34">
    <w:abstractNumId w:val="33"/>
  </w:num>
  <w:num w:numId="35">
    <w:abstractNumId w:val="42"/>
  </w:num>
  <w:num w:numId="36">
    <w:abstractNumId w:val="35"/>
  </w:num>
  <w:num w:numId="37">
    <w:abstractNumId w:val="18"/>
  </w:num>
  <w:num w:numId="38">
    <w:abstractNumId w:val="40"/>
  </w:num>
  <w:num w:numId="39">
    <w:abstractNumId w:val="6"/>
  </w:num>
  <w:num w:numId="40">
    <w:abstractNumId w:val="31"/>
  </w:num>
  <w:num w:numId="41">
    <w:abstractNumId w:val="12"/>
  </w:num>
  <w:num w:numId="42">
    <w:abstractNumId w:val="38"/>
  </w:num>
  <w:num w:numId="43">
    <w:abstractNumId w:val="37"/>
  </w:num>
  <w:num w:numId="44">
    <w:abstractNumId w:val="10"/>
  </w:num>
  <w:num w:numId="45">
    <w:abstractNumId w:val="16"/>
  </w:num>
  <w:num w:numId="46">
    <w:abstractNumId w:val="32"/>
  </w:num>
  <w:num w:numId="47">
    <w:abstractNumId w:val="2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131078" w:nlCheck="1" w:checkStyle="0"/>
  <w:activeWritingStyle w:appName="MSWord" w:lang="en-GB" w:vendorID="64" w:dllVersion="131078" w:nlCheck="1" w:checkStyle="1"/>
  <w:defaultTabStop w:val="720"/>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7E80"/>
    <w:rsid w:val="000001A3"/>
    <w:rsid w:val="00003521"/>
    <w:rsid w:val="00007ECE"/>
    <w:rsid w:val="00007FAF"/>
    <w:rsid w:val="00022085"/>
    <w:rsid w:val="00031B31"/>
    <w:rsid w:val="00047414"/>
    <w:rsid w:val="00051BB5"/>
    <w:rsid w:val="0005209D"/>
    <w:rsid w:val="00062551"/>
    <w:rsid w:val="0006520C"/>
    <w:rsid w:val="00070B79"/>
    <w:rsid w:val="000727C5"/>
    <w:rsid w:val="000900A2"/>
    <w:rsid w:val="00095699"/>
    <w:rsid w:val="000972D6"/>
    <w:rsid w:val="00097BE3"/>
    <w:rsid w:val="000A356D"/>
    <w:rsid w:val="000A3FE4"/>
    <w:rsid w:val="000A4435"/>
    <w:rsid w:val="000A4603"/>
    <w:rsid w:val="000B0343"/>
    <w:rsid w:val="000C0C01"/>
    <w:rsid w:val="000C7CA2"/>
    <w:rsid w:val="000D4237"/>
    <w:rsid w:val="000F37FD"/>
    <w:rsid w:val="000F3B16"/>
    <w:rsid w:val="000F5C83"/>
    <w:rsid w:val="00110BB3"/>
    <w:rsid w:val="00111757"/>
    <w:rsid w:val="001306D3"/>
    <w:rsid w:val="00132878"/>
    <w:rsid w:val="00133983"/>
    <w:rsid w:val="0013449A"/>
    <w:rsid w:val="00136935"/>
    <w:rsid w:val="00151A2C"/>
    <w:rsid w:val="00152DA1"/>
    <w:rsid w:val="00160E9D"/>
    <w:rsid w:val="001670DB"/>
    <w:rsid w:val="00172C65"/>
    <w:rsid w:val="00174561"/>
    <w:rsid w:val="00176B92"/>
    <w:rsid w:val="00183BF1"/>
    <w:rsid w:val="00186CDE"/>
    <w:rsid w:val="0019117F"/>
    <w:rsid w:val="001A2072"/>
    <w:rsid w:val="001A20DE"/>
    <w:rsid w:val="001A7E89"/>
    <w:rsid w:val="001B4AFA"/>
    <w:rsid w:val="001B5C4B"/>
    <w:rsid w:val="001D44AB"/>
    <w:rsid w:val="001D46BE"/>
    <w:rsid w:val="001E1FCD"/>
    <w:rsid w:val="002034AC"/>
    <w:rsid w:val="00207A8A"/>
    <w:rsid w:val="002234EC"/>
    <w:rsid w:val="00224C80"/>
    <w:rsid w:val="00225186"/>
    <w:rsid w:val="002270E9"/>
    <w:rsid w:val="002363FC"/>
    <w:rsid w:val="0023703A"/>
    <w:rsid w:val="00243FE3"/>
    <w:rsid w:val="00247BA3"/>
    <w:rsid w:val="00256FE0"/>
    <w:rsid w:val="002573F3"/>
    <w:rsid w:val="00261F8D"/>
    <w:rsid w:val="00265D14"/>
    <w:rsid w:val="00275162"/>
    <w:rsid w:val="0028238B"/>
    <w:rsid w:val="002824C9"/>
    <w:rsid w:val="002A11D6"/>
    <w:rsid w:val="002A4A3A"/>
    <w:rsid w:val="002A5814"/>
    <w:rsid w:val="002B2349"/>
    <w:rsid w:val="002C6FB0"/>
    <w:rsid w:val="002D1063"/>
    <w:rsid w:val="002D5A55"/>
    <w:rsid w:val="002D734D"/>
    <w:rsid w:val="002E04D8"/>
    <w:rsid w:val="002E1C6F"/>
    <w:rsid w:val="002F7F8A"/>
    <w:rsid w:val="003003D3"/>
    <w:rsid w:val="00305772"/>
    <w:rsid w:val="00312134"/>
    <w:rsid w:val="003136FC"/>
    <w:rsid w:val="003145E5"/>
    <w:rsid w:val="00315509"/>
    <w:rsid w:val="00317CAB"/>
    <w:rsid w:val="00322B42"/>
    <w:rsid w:val="00324FFB"/>
    <w:rsid w:val="00333AF1"/>
    <w:rsid w:val="0033556D"/>
    <w:rsid w:val="00336084"/>
    <w:rsid w:val="003522D4"/>
    <w:rsid w:val="00365BCD"/>
    <w:rsid w:val="00366082"/>
    <w:rsid w:val="00372893"/>
    <w:rsid w:val="003740F2"/>
    <w:rsid w:val="00384A32"/>
    <w:rsid w:val="0038644B"/>
    <w:rsid w:val="003929A5"/>
    <w:rsid w:val="003A1021"/>
    <w:rsid w:val="003B18D1"/>
    <w:rsid w:val="003C3368"/>
    <w:rsid w:val="003E5CAD"/>
    <w:rsid w:val="003F4C38"/>
    <w:rsid w:val="003F599F"/>
    <w:rsid w:val="003F69BF"/>
    <w:rsid w:val="004029D3"/>
    <w:rsid w:val="004048D3"/>
    <w:rsid w:val="00410178"/>
    <w:rsid w:val="00410E18"/>
    <w:rsid w:val="0041765B"/>
    <w:rsid w:val="004247E5"/>
    <w:rsid w:val="00430314"/>
    <w:rsid w:val="00434D7C"/>
    <w:rsid w:val="0044046B"/>
    <w:rsid w:val="00443DFE"/>
    <w:rsid w:val="004574E7"/>
    <w:rsid w:val="00467604"/>
    <w:rsid w:val="00472C47"/>
    <w:rsid w:val="004741C7"/>
    <w:rsid w:val="00484557"/>
    <w:rsid w:val="00493D51"/>
    <w:rsid w:val="004A22D0"/>
    <w:rsid w:val="004A5E04"/>
    <w:rsid w:val="004A6546"/>
    <w:rsid w:val="004B337B"/>
    <w:rsid w:val="004B3383"/>
    <w:rsid w:val="004C4805"/>
    <w:rsid w:val="004C6F88"/>
    <w:rsid w:val="004D2D7C"/>
    <w:rsid w:val="004E1EA1"/>
    <w:rsid w:val="004E5770"/>
    <w:rsid w:val="004E57F2"/>
    <w:rsid w:val="004E70F0"/>
    <w:rsid w:val="004F2B8C"/>
    <w:rsid w:val="005134D1"/>
    <w:rsid w:val="005200A5"/>
    <w:rsid w:val="00526C5D"/>
    <w:rsid w:val="00536C84"/>
    <w:rsid w:val="005429D9"/>
    <w:rsid w:val="005433AA"/>
    <w:rsid w:val="0055110D"/>
    <w:rsid w:val="005531DE"/>
    <w:rsid w:val="005542A6"/>
    <w:rsid w:val="005546D3"/>
    <w:rsid w:val="00560E84"/>
    <w:rsid w:val="00562F18"/>
    <w:rsid w:val="0056307F"/>
    <w:rsid w:val="00566615"/>
    <w:rsid w:val="00577C9A"/>
    <w:rsid w:val="005878C0"/>
    <w:rsid w:val="005A06D3"/>
    <w:rsid w:val="005A1579"/>
    <w:rsid w:val="005A5ED3"/>
    <w:rsid w:val="005A63CD"/>
    <w:rsid w:val="005C65FF"/>
    <w:rsid w:val="005D5A22"/>
    <w:rsid w:val="005F2648"/>
    <w:rsid w:val="005F2D23"/>
    <w:rsid w:val="0060183F"/>
    <w:rsid w:val="00605A3F"/>
    <w:rsid w:val="00607D8C"/>
    <w:rsid w:val="00614D52"/>
    <w:rsid w:val="00625C34"/>
    <w:rsid w:val="00627C44"/>
    <w:rsid w:val="00630A44"/>
    <w:rsid w:val="00634B18"/>
    <w:rsid w:val="00637756"/>
    <w:rsid w:val="00637E0C"/>
    <w:rsid w:val="00646597"/>
    <w:rsid w:val="00647414"/>
    <w:rsid w:val="00656E0F"/>
    <w:rsid w:val="00657E80"/>
    <w:rsid w:val="00665E1A"/>
    <w:rsid w:val="006714BE"/>
    <w:rsid w:val="0067173B"/>
    <w:rsid w:val="00673A92"/>
    <w:rsid w:val="00680AF5"/>
    <w:rsid w:val="00681613"/>
    <w:rsid w:val="00682309"/>
    <w:rsid w:val="00682D2F"/>
    <w:rsid w:val="00686958"/>
    <w:rsid w:val="006909C5"/>
    <w:rsid w:val="006955DF"/>
    <w:rsid w:val="00697C9C"/>
    <w:rsid w:val="006B0F24"/>
    <w:rsid w:val="006B1A9E"/>
    <w:rsid w:val="006C5F38"/>
    <w:rsid w:val="006D5D4C"/>
    <w:rsid w:val="006D7058"/>
    <w:rsid w:val="006E4A7C"/>
    <w:rsid w:val="006E527D"/>
    <w:rsid w:val="006E7A1E"/>
    <w:rsid w:val="0070070E"/>
    <w:rsid w:val="00704B3C"/>
    <w:rsid w:val="0071088A"/>
    <w:rsid w:val="0071140C"/>
    <w:rsid w:val="00711EA7"/>
    <w:rsid w:val="00722C4A"/>
    <w:rsid w:val="00734D7D"/>
    <w:rsid w:val="00741BFC"/>
    <w:rsid w:val="00760613"/>
    <w:rsid w:val="007703F3"/>
    <w:rsid w:val="00772BF2"/>
    <w:rsid w:val="0077494A"/>
    <w:rsid w:val="00775AC7"/>
    <w:rsid w:val="00787ACA"/>
    <w:rsid w:val="00793086"/>
    <w:rsid w:val="00793966"/>
    <w:rsid w:val="007B6A22"/>
    <w:rsid w:val="007B6D28"/>
    <w:rsid w:val="007C242C"/>
    <w:rsid w:val="007D4C06"/>
    <w:rsid w:val="007E0BBA"/>
    <w:rsid w:val="007E4D3A"/>
    <w:rsid w:val="007F1B6A"/>
    <w:rsid w:val="007F22A1"/>
    <w:rsid w:val="007F24F6"/>
    <w:rsid w:val="008107CD"/>
    <w:rsid w:val="008176B1"/>
    <w:rsid w:val="00820741"/>
    <w:rsid w:val="00830585"/>
    <w:rsid w:val="008416F7"/>
    <w:rsid w:val="0086049C"/>
    <w:rsid w:val="008760B9"/>
    <w:rsid w:val="008935F8"/>
    <w:rsid w:val="0089556A"/>
    <w:rsid w:val="008A2C13"/>
    <w:rsid w:val="008B2D29"/>
    <w:rsid w:val="008B529A"/>
    <w:rsid w:val="008C06E2"/>
    <w:rsid w:val="008C21FA"/>
    <w:rsid w:val="008C2D57"/>
    <w:rsid w:val="008D47D6"/>
    <w:rsid w:val="008E5422"/>
    <w:rsid w:val="008F2DEA"/>
    <w:rsid w:val="009007D2"/>
    <w:rsid w:val="00900961"/>
    <w:rsid w:val="00905138"/>
    <w:rsid w:val="00912AE5"/>
    <w:rsid w:val="00914464"/>
    <w:rsid w:val="0091652B"/>
    <w:rsid w:val="00920163"/>
    <w:rsid w:val="0093168A"/>
    <w:rsid w:val="00934579"/>
    <w:rsid w:val="009475EC"/>
    <w:rsid w:val="00951C51"/>
    <w:rsid w:val="00961BFA"/>
    <w:rsid w:val="009658D1"/>
    <w:rsid w:val="009721BC"/>
    <w:rsid w:val="00974FFE"/>
    <w:rsid w:val="009823C9"/>
    <w:rsid w:val="009952EF"/>
    <w:rsid w:val="009A5DAF"/>
    <w:rsid w:val="009A6AE2"/>
    <w:rsid w:val="009B60A0"/>
    <w:rsid w:val="009C74A3"/>
    <w:rsid w:val="009C74A6"/>
    <w:rsid w:val="009D5A4E"/>
    <w:rsid w:val="009D672B"/>
    <w:rsid w:val="009F205F"/>
    <w:rsid w:val="009F320A"/>
    <w:rsid w:val="009F6980"/>
    <w:rsid w:val="00A01C14"/>
    <w:rsid w:val="00A023EA"/>
    <w:rsid w:val="00A0525D"/>
    <w:rsid w:val="00A05AFA"/>
    <w:rsid w:val="00A11D4F"/>
    <w:rsid w:val="00A1400F"/>
    <w:rsid w:val="00A141EA"/>
    <w:rsid w:val="00A24D4C"/>
    <w:rsid w:val="00A321D9"/>
    <w:rsid w:val="00A32ECF"/>
    <w:rsid w:val="00A36E3B"/>
    <w:rsid w:val="00A40737"/>
    <w:rsid w:val="00A41CFF"/>
    <w:rsid w:val="00A50B21"/>
    <w:rsid w:val="00A73C26"/>
    <w:rsid w:val="00A77AEA"/>
    <w:rsid w:val="00A81EB1"/>
    <w:rsid w:val="00A86C37"/>
    <w:rsid w:val="00A8730F"/>
    <w:rsid w:val="00A93AD2"/>
    <w:rsid w:val="00AA2534"/>
    <w:rsid w:val="00AA5087"/>
    <w:rsid w:val="00AA56E1"/>
    <w:rsid w:val="00AB78F7"/>
    <w:rsid w:val="00AC26CD"/>
    <w:rsid w:val="00AC28F6"/>
    <w:rsid w:val="00AE005D"/>
    <w:rsid w:val="00AE086D"/>
    <w:rsid w:val="00AE2028"/>
    <w:rsid w:val="00AE3CD7"/>
    <w:rsid w:val="00AF28F5"/>
    <w:rsid w:val="00B114F1"/>
    <w:rsid w:val="00B160AA"/>
    <w:rsid w:val="00B167B2"/>
    <w:rsid w:val="00B208F3"/>
    <w:rsid w:val="00B23328"/>
    <w:rsid w:val="00B31FF4"/>
    <w:rsid w:val="00B32457"/>
    <w:rsid w:val="00B32CE6"/>
    <w:rsid w:val="00B40B81"/>
    <w:rsid w:val="00B42918"/>
    <w:rsid w:val="00B46B6E"/>
    <w:rsid w:val="00B51E67"/>
    <w:rsid w:val="00B52E67"/>
    <w:rsid w:val="00B5560B"/>
    <w:rsid w:val="00B64334"/>
    <w:rsid w:val="00B77789"/>
    <w:rsid w:val="00B82B8E"/>
    <w:rsid w:val="00B8333B"/>
    <w:rsid w:val="00B9100E"/>
    <w:rsid w:val="00B93BD5"/>
    <w:rsid w:val="00BA2451"/>
    <w:rsid w:val="00BA283F"/>
    <w:rsid w:val="00BC30EC"/>
    <w:rsid w:val="00BC75B6"/>
    <w:rsid w:val="00BD38FD"/>
    <w:rsid w:val="00BE4BCC"/>
    <w:rsid w:val="00BF2A5E"/>
    <w:rsid w:val="00BF2ED2"/>
    <w:rsid w:val="00BF6205"/>
    <w:rsid w:val="00C00B53"/>
    <w:rsid w:val="00C05B47"/>
    <w:rsid w:val="00C068C2"/>
    <w:rsid w:val="00C220DF"/>
    <w:rsid w:val="00C54E1A"/>
    <w:rsid w:val="00C65E88"/>
    <w:rsid w:val="00C66542"/>
    <w:rsid w:val="00C8056B"/>
    <w:rsid w:val="00C87145"/>
    <w:rsid w:val="00C872C7"/>
    <w:rsid w:val="00C87AD4"/>
    <w:rsid w:val="00C90628"/>
    <w:rsid w:val="00C93C32"/>
    <w:rsid w:val="00C93FD7"/>
    <w:rsid w:val="00CA2ABD"/>
    <w:rsid w:val="00CA2FEC"/>
    <w:rsid w:val="00CA734A"/>
    <w:rsid w:val="00CB36BF"/>
    <w:rsid w:val="00CC0F50"/>
    <w:rsid w:val="00CD77AB"/>
    <w:rsid w:val="00CE1630"/>
    <w:rsid w:val="00CF1C50"/>
    <w:rsid w:val="00CF7C9B"/>
    <w:rsid w:val="00D21480"/>
    <w:rsid w:val="00D339D5"/>
    <w:rsid w:val="00D3551C"/>
    <w:rsid w:val="00D36197"/>
    <w:rsid w:val="00D444AD"/>
    <w:rsid w:val="00D461A2"/>
    <w:rsid w:val="00D54C78"/>
    <w:rsid w:val="00D65D3D"/>
    <w:rsid w:val="00D740F5"/>
    <w:rsid w:val="00D82090"/>
    <w:rsid w:val="00D92E4B"/>
    <w:rsid w:val="00D951A0"/>
    <w:rsid w:val="00DA01BA"/>
    <w:rsid w:val="00DA18C1"/>
    <w:rsid w:val="00DA212C"/>
    <w:rsid w:val="00DA5472"/>
    <w:rsid w:val="00DA67A7"/>
    <w:rsid w:val="00DB01FB"/>
    <w:rsid w:val="00DC33EA"/>
    <w:rsid w:val="00DC3A41"/>
    <w:rsid w:val="00DC7854"/>
    <w:rsid w:val="00DD58C8"/>
    <w:rsid w:val="00DE16AB"/>
    <w:rsid w:val="00E01D5F"/>
    <w:rsid w:val="00E021C8"/>
    <w:rsid w:val="00E02E17"/>
    <w:rsid w:val="00E0489B"/>
    <w:rsid w:val="00E05CEA"/>
    <w:rsid w:val="00E17C6B"/>
    <w:rsid w:val="00E30E0F"/>
    <w:rsid w:val="00E31269"/>
    <w:rsid w:val="00E42950"/>
    <w:rsid w:val="00E46175"/>
    <w:rsid w:val="00E54217"/>
    <w:rsid w:val="00E63DEF"/>
    <w:rsid w:val="00E64440"/>
    <w:rsid w:val="00E75B7C"/>
    <w:rsid w:val="00E7756B"/>
    <w:rsid w:val="00E8736D"/>
    <w:rsid w:val="00EA4033"/>
    <w:rsid w:val="00EB70E7"/>
    <w:rsid w:val="00EC2073"/>
    <w:rsid w:val="00EC4B47"/>
    <w:rsid w:val="00ED4147"/>
    <w:rsid w:val="00EF20D8"/>
    <w:rsid w:val="00F00C7E"/>
    <w:rsid w:val="00F103E5"/>
    <w:rsid w:val="00F15537"/>
    <w:rsid w:val="00F203D4"/>
    <w:rsid w:val="00F329DB"/>
    <w:rsid w:val="00F32A7C"/>
    <w:rsid w:val="00F41BCE"/>
    <w:rsid w:val="00F6332E"/>
    <w:rsid w:val="00F7481F"/>
    <w:rsid w:val="00FA5811"/>
    <w:rsid w:val="00FB37A9"/>
    <w:rsid w:val="00FB564D"/>
    <w:rsid w:val="00FB6B78"/>
    <w:rsid w:val="00FC274D"/>
    <w:rsid w:val="00FC4421"/>
    <w:rsid w:val="00FC7B36"/>
    <w:rsid w:val="00FD5330"/>
    <w:rsid w:val="00FE079A"/>
    <w:rsid w:val="00FE11DC"/>
    <w:rsid w:val="00FE3FA4"/>
    <w:rsid w:val="00FF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AE78"/>
  <w15:docId w15:val="{D7D62429-F9FF-48F5-A483-701C5F2F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F24"/>
  </w:style>
  <w:style w:type="paragraph" w:styleId="Heading1">
    <w:name w:val="heading 1"/>
    <w:aliases w:val="Chapter heading,h1,Section,1. Overskrift 1,(Section),Numbered - 1,Chapter Hdg,CH TITLE 1,Headline 1,cover1,intoduction,head1,Chapter Heading,IMPACT STUDY TITLE1,TITLE 1 NR,title 1 nr,Title 1,ariad2-heading1,1H,1h,1H1,1H2,1H11,1,section head"/>
    <w:basedOn w:val="Normal"/>
    <w:next w:val="Normal"/>
    <w:link w:val="Heading1Char"/>
    <w:uiPriority w:val="9"/>
    <w:qFormat/>
    <w:rsid w:val="00787ACA"/>
    <w:pPr>
      <w:keepNext/>
      <w:keepLines/>
      <w:numPr>
        <w:numId w:val="11"/>
      </w:numPr>
      <w:spacing w:before="480" w:after="0" w:line="240"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1.1,h2,Hanging 2 Indent,numbered indent 2,ni2,2,H2,Subsection,fo,headi,heading2,h21,h22,21,Heading Two,ECHA Heading 2,Lev 2"/>
    <w:basedOn w:val="Normal"/>
    <w:next w:val="Normal"/>
    <w:link w:val="Heading2Char"/>
    <w:uiPriority w:val="9"/>
    <w:unhideWhenUsed/>
    <w:qFormat/>
    <w:rsid w:val="00787ACA"/>
    <w:pPr>
      <w:keepNext/>
      <w:keepLines/>
      <w:numPr>
        <w:ilvl w:val="1"/>
        <w:numId w:val="11"/>
      </w:numPr>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1.1.1,ECHA Heading 3"/>
    <w:basedOn w:val="Normal"/>
    <w:next w:val="Normal"/>
    <w:link w:val="Heading3Char"/>
    <w:uiPriority w:val="9"/>
    <w:unhideWhenUsed/>
    <w:qFormat/>
    <w:rsid w:val="00787ACA"/>
    <w:pPr>
      <w:keepNext/>
      <w:keepLines/>
      <w:numPr>
        <w:ilvl w:val="2"/>
        <w:numId w:val="11"/>
      </w:numPr>
      <w:spacing w:before="200" w:after="0" w:line="240" w:lineRule="auto"/>
      <w:jc w:val="both"/>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787ACA"/>
    <w:pPr>
      <w:keepNext/>
      <w:keepLines/>
      <w:numPr>
        <w:ilvl w:val="3"/>
        <w:numId w:val="11"/>
      </w:numPr>
      <w:spacing w:before="200" w:after="0" w:line="240" w:lineRule="auto"/>
      <w:jc w:val="both"/>
      <w:outlineLvl w:val="3"/>
    </w:pPr>
    <w:rPr>
      <w:rFonts w:asciiTheme="majorHAnsi" w:eastAsiaTheme="majorEastAsia" w:hAnsiTheme="majorHAnsi" w:cstheme="majorBidi"/>
      <w:b/>
      <w:bCs/>
      <w:i/>
      <w:iCs/>
      <w:color w:val="4F81BD" w:themeColor="accent1"/>
      <w:sz w:val="24"/>
    </w:rPr>
  </w:style>
  <w:style w:type="paragraph" w:styleId="Heading5">
    <w:name w:val="heading 5"/>
    <w:basedOn w:val="Normal"/>
    <w:next w:val="Normal"/>
    <w:link w:val="Heading5Char"/>
    <w:uiPriority w:val="9"/>
    <w:unhideWhenUsed/>
    <w:qFormat/>
    <w:rsid w:val="00787ACA"/>
    <w:pPr>
      <w:keepNext/>
      <w:keepLines/>
      <w:numPr>
        <w:ilvl w:val="4"/>
        <w:numId w:val="11"/>
      </w:numPr>
      <w:spacing w:before="200" w:after="0" w:line="240" w:lineRule="auto"/>
      <w:jc w:val="both"/>
      <w:outlineLvl w:val="4"/>
    </w:pPr>
    <w:rPr>
      <w:rFonts w:asciiTheme="majorHAnsi" w:eastAsiaTheme="majorEastAsia" w:hAnsiTheme="majorHAnsi" w:cstheme="majorBidi"/>
      <w:color w:val="243F60" w:themeColor="accent1" w:themeShade="7F"/>
      <w:sz w:val="24"/>
    </w:rPr>
  </w:style>
  <w:style w:type="paragraph" w:styleId="Heading6">
    <w:name w:val="heading 6"/>
    <w:basedOn w:val="Normal"/>
    <w:next w:val="Normal"/>
    <w:link w:val="Heading6Char"/>
    <w:uiPriority w:val="9"/>
    <w:unhideWhenUsed/>
    <w:qFormat/>
    <w:rsid w:val="00787ACA"/>
    <w:pPr>
      <w:keepNext/>
      <w:keepLines/>
      <w:numPr>
        <w:ilvl w:val="5"/>
        <w:numId w:val="11"/>
      </w:numPr>
      <w:spacing w:before="200" w:after="0" w:line="240" w:lineRule="auto"/>
      <w:ind w:left="2228" w:hanging="1151"/>
      <w:jc w:val="both"/>
      <w:outlineLvl w:val="5"/>
    </w:pPr>
    <w:rPr>
      <w:rFonts w:asciiTheme="majorHAnsi" w:eastAsiaTheme="majorEastAsia" w:hAnsiTheme="majorHAnsi" w:cstheme="majorBidi"/>
      <w:i/>
      <w:iCs/>
      <w:color w:val="243F60" w:themeColor="accent1" w:themeShade="7F"/>
      <w:sz w:val="24"/>
    </w:rPr>
  </w:style>
  <w:style w:type="paragraph" w:styleId="Heading8">
    <w:name w:val="heading 8"/>
    <w:basedOn w:val="Normal"/>
    <w:next w:val="Normal"/>
    <w:link w:val="Heading8Char"/>
    <w:uiPriority w:val="9"/>
    <w:unhideWhenUsed/>
    <w:qFormat/>
    <w:rsid w:val="00787ACA"/>
    <w:pPr>
      <w:keepNext/>
      <w:keepLines/>
      <w:numPr>
        <w:ilvl w:val="7"/>
        <w:numId w:val="11"/>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87ACA"/>
    <w:pPr>
      <w:keepNext/>
      <w:keepLines/>
      <w:numPr>
        <w:ilvl w:val="8"/>
        <w:numId w:val="11"/>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3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9C74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4A3"/>
  </w:style>
  <w:style w:type="paragraph" w:styleId="Footer">
    <w:name w:val="footer"/>
    <w:basedOn w:val="Normal"/>
    <w:link w:val="FooterChar"/>
    <w:uiPriority w:val="99"/>
    <w:unhideWhenUsed/>
    <w:rsid w:val="009C74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4A3"/>
  </w:style>
  <w:style w:type="character" w:styleId="CommentReference">
    <w:name w:val="annotation reference"/>
    <w:basedOn w:val="DefaultParagraphFont"/>
    <w:uiPriority w:val="99"/>
    <w:semiHidden/>
    <w:unhideWhenUsed/>
    <w:rsid w:val="00B32457"/>
    <w:rPr>
      <w:sz w:val="16"/>
      <w:szCs w:val="16"/>
    </w:rPr>
  </w:style>
  <w:style w:type="paragraph" w:styleId="CommentText">
    <w:name w:val="annotation text"/>
    <w:basedOn w:val="Normal"/>
    <w:link w:val="CommentTextChar"/>
    <w:uiPriority w:val="99"/>
    <w:unhideWhenUsed/>
    <w:rsid w:val="00B32457"/>
    <w:pPr>
      <w:spacing w:line="240" w:lineRule="auto"/>
    </w:pPr>
    <w:rPr>
      <w:sz w:val="20"/>
      <w:szCs w:val="20"/>
    </w:rPr>
  </w:style>
  <w:style w:type="character" w:customStyle="1" w:styleId="CommentTextChar">
    <w:name w:val="Comment Text Char"/>
    <w:basedOn w:val="DefaultParagraphFont"/>
    <w:link w:val="CommentText"/>
    <w:uiPriority w:val="99"/>
    <w:rsid w:val="00B32457"/>
    <w:rPr>
      <w:sz w:val="20"/>
      <w:szCs w:val="20"/>
    </w:rPr>
  </w:style>
  <w:style w:type="paragraph" w:styleId="CommentSubject">
    <w:name w:val="annotation subject"/>
    <w:basedOn w:val="CommentText"/>
    <w:next w:val="CommentText"/>
    <w:link w:val="CommentSubjectChar"/>
    <w:uiPriority w:val="99"/>
    <w:semiHidden/>
    <w:unhideWhenUsed/>
    <w:rsid w:val="00B32457"/>
    <w:rPr>
      <w:b/>
      <w:bCs/>
    </w:rPr>
  </w:style>
  <w:style w:type="character" w:customStyle="1" w:styleId="CommentSubjectChar">
    <w:name w:val="Comment Subject Char"/>
    <w:basedOn w:val="CommentTextChar"/>
    <w:link w:val="CommentSubject"/>
    <w:uiPriority w:val="99"/>
    <w:semiHidden/>
    <w:rsid w:val="00B32457"/>
    <w:rPr>
      <w:b/>
      <w:bCs/>
      <w:sz w:val="20"/>
      <w:szCs w:val="20"/>
    </w:rPr>
  </w:style>
  <w:style w:type="paragraph" w:styleId="BalloonText">
    <w:name w:val="Balloon Text"/>
    <w:basedOn w:val="Normal"/>
    <w:link w:val="BalloonTextChar"/>
    <w:uiPriority w:val="99"/>
    <w:semiHidden/>
    <w:unhideWhenUsed/>
    <w:rsid w:val="00B32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457"/>
    <w:rPr>
      <w:rFonts w:ascii="Tahoma" w:hAnsi="Tahoma" w:cs="Tahoma"/>
      <w:sz w:val="16"/>
      <w:szCs w:val="16"/>
    </w:rPr>
  </w:style>
  <w:style w:type="paragraph" w:styleId="FootnoteText">
    <w:name w:val="footnote text"/>
    <w:basedOn w:val="Normal"/>
    <w:link w:val="FootnoteTextChar"/>
    <w:uiPriority w:val="99"/>
    <w:unhideWhenUsed/>
    <w:qFormat/>
    <w:rsid w:val="003929A5"/>
    <w:pPr>
      <w:spacing w:after="0" w:line="240" w:lineRule="auto"/>
    </w:pPr>
    <w:rPr>
      <w:sz w:val="20"/>
      <w:szCs w:val="20"/>
    </w:rPr>
  </w:style>
  <w:style w:type="character" w:customStyle="1" w:styleId="FootnoteTextChar">
    <w:name w:val="Footnote Text Char"/>
    <w:basedOn w:val="DefaultParagraphFont"/>
    <w:link w:val="FootnoteText"/>
    <w:uiPriority w:val="99"/>
    <w:rsid w:val="003929A5"/>
    <w:rPr>
      <w:sz w:val="20"/>
      <w:szCs w:val="20"/>
    </w:rPr>
  </w:style>
  <w:style w:type="character" w:styleId="FootnoteReference">
    <w:name w:val="footnote reference"/>
    <w:aliases w:val="16 Point,Superscript 6 Point,Footnote Refernece,BVI fnr,callout,Odwołanie przypisu,Footnote symbol,Footnote Reference Number,Footnote Reference Superscript,SUPERS,Times 10 Point,Exposant 3 Point,Ref,de nota al pie, BVI fnr,Footnote,Re"/>
    <w:basedOn w:val="DefaultParagraphFont"/>
    <w:link w:val="ftrefCharCharCharCharCharCharCharCharChar"/>
    <w:uiPriority w:val="99"/>
    <w:unhideWhenUsed/>
    <w:qFormat/>
    <w:rsid w:val="003929A5"/>
    <w:rPr>
      <w:vertAlign w:val="superscript"/>
    </w:rPr>
  </w:style>
  <w:style w:type="character" w:styleId="Hyperlink">
    <w:name w:val="Hyperlink"/>
    <w:basedOn w:val="DefaultParagraphFont"/>
    <w:uiPriority w:val="99"/>
    <w:unhideWhenUsed/>
    <w:rsid w:val="003929A5"/>
    <w:rPr>
      <w:color w:val="0000FF" w:themeColor="hyperlink"/>
      <w:u w:val="single"/>
    </w:rPr>
  </w:style>
  <w:style w:type="paragraph" w:customStyle="1" w:styleId="Text1">
    <w:name w:val="Text 1"/>
    <w:basedOn w:val="Normal"/>
    <w:rsid w:val="003929A5"/>
    <w:pPr>
      <w:spacing w:after="240" w:line="240" w:lineRule="auto"/>
      <w:ind w:left="482"/>
      <w:jc w:val="both"/>
    </w:pPr>
    <w:rPr>
      <w:rFonts w:ascii="Times New Roman" w:eastAsia="Times New Roman" w:hAnsi="Times New Roman" w:cs="Times New Roman"/>
      <w:sz w:val="24"/>
      <w:szCs w:val="20"/>
    </w:rPr>
  </w:style>
  <w:style w:type="paragraph" w:customStyle="1" w:styleId="Numbering">
    <w:name w:val="Numbering"/>
    <w:basedOn w:val="ListParagraph"/>
    <w:link w:val="NumberingChar"/>
    <w:uiPriority w:val="11"/>
    <w:qFormat/>
    <w:rsid w:val="00974FFE"/>
    <w:pPr>
      <w:numPr>
        <w:numId w:val="2"/>
      </w:numPr>
      <w:spacing w:before="200"/>
      <w:jc w:val="both"/>
    </w:pPr>
    <w:rPr>
      <w:rFonts w:asciiTheme="minorHAnsi" w:hAnsiTheme="minorHAnsi" w:cstheme="minorBidi"/>
      <w:szCs w:val="24"/>
    </w:rPr>
  </w:style>
  <w:style w:type="character" w:customStyle="1" w:styleId="NumberingChar">
    <w:name w:val="Numbering Char"/>
    <w:basedOn w:val="DefaultParagraphFont"/>
    <w:link w:val="Numbering"/>
    <w:uiPriority w:val="11"/>
    <w:rsid w:val="00974FFE"/>
    <w:rPr>
      <w:szCs w:val="24"/>
    </w:rPr>
  </w:style>
  <w:style w:type="table" w:styleId="TableGrid">
    <w:name w:val="Table Grid"/>
    <w:basedOn w:val="TableNormal"/>
    <w:uiPriority w:val="59"/>
    <w:rsid w:val="0097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4421"/>
    <w:pPr>
      <w:spacing w:after="0" w:line="240" w:lineRule="auto"/>
    </w:pPr>
  </w:style>
  <w:style w:type="paragraph" w:customStyle="1" w:styleId="Default">
    <w:name w:val="Default"/>
    <w:rsid w:val="00FE079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trefCharCharCharCharCharCharCharCharChar">
    <w:name w:val="ftref Char Char Char Char Char Char Char Char Char"/>
    <w:aliases w:val="Footnote Char Char Char Char Char Char Char Char Char, BVI fnr Char Char Char Char Char Char Char Char Char,BVI fnr Char Char Char Char Char Char Char Char Char Char"/>
    <w:basedOn w:val="Normal"/>
    <w:next w:val="Normal"/>
    <w:link w:val="FootnoteReference"/>
    <w:uiPriority w:val="99"/>
    <w:rsid w:val="00C872C7"/>
    <w:pPr>
      <w:spacing w:after="160" w:line="240" w:lineRule="exact"/>
    </w:pPr>
    <w:rPr>
      <w:vertAlign w:val="superscript"/>
    </w:rPr>
  </w:style>
  <w:style w:type="character" w:customStyle="1" w:styleId="Heading1Char">
    <w:name w:val="Heading 1 Char"/>
    <w:aliases w:val="Chapter heading Char,h1 Char,Section Char,1. Overskrift 1 Char,(Section) Char,Numbered - 1 Char,Chapter Hdg Char,CH TITLE 1 Char,Headline 1 Char,cover1 Char,intoduction Char,head1 Char,Chapter Heading Char,IMPACT STUDY TITLE1 Char,1H Char"/>
    <w:basedOn w:val="DefaultParagraphFont"/>
    <w:link w:val="Heading1"/>
    <w:uiPriority w:val="9"/>
    <w:rsid w:val="00787ACA"/>
    <w:rPr>
      <w:rFonts w:asciiTheme="majorHAnsi" w:eastAsiaTheme="majorEastAsia" w:hAnsiTheme="majorHAnsi" w:cstheme="majorBidi"/>
      <w:b/>
      <w:bCs/>
      <w:color w:val="365F91" w:themeColor="accent1" w:themeShade="BF"/>
      <w:sz w:val="28"/>
      <w:szCs w:val="28"/>
      <w:lang w:val="lt-LT"/>
    </w:rPr>
  </w:style>
  <w:style w:type="character" w:customStyle="1" w:styleId="Heading2Char">
    <w:name w:val="Heading 2 Char"/>
    <w:aliases w:val="Heading 1.1 Char,h2 Char,Hanging 2 Indent Char,numbered indent 2 Char,ni2 Char,2 Char,H2 Char,Subsection Char,fo Char,headi Char,heading2 Char,h21 Char,h22 Char,21 Char,Heading Two Char,ECHA Heading 2 Char,Lev 2 Char"/>
    <w:basedOn w:val="DefaultParagraphFont"/>
    <w:link w:val="Heading2"/>
    <w:uiPriority w:val="9"/>
    <w:rsid w:val="00787ACA"/>
    <w:rPr>
      <w:rFonts w:asciiTheme="majorHAnsi" w:eastAsiaTheme="majorEastAsia" w:hAnsiTheme="majorHAnsi" w:cstheme="majorBidi"/>
      <w:b/>
      <w:bCs/>
      <w:color w:val="4F81BD" w:themeColor="accent1"/>
      <w:sz w:val="26"/>
      <w:szCs w:val="26"/>
      <w:lang w:val="lt-LT"/>
    </w:rPr>
  </w:style>
  <w:style w:type="character" w:customStyle="1" w:styleId="Heading3Char">
    <w:name w:val="Heading 3 Char"/>
    <w:aliases w:val="Heading 1.1.1 Char,ECHA Heading 3 Char"/>
    <w:basedOn w:val="DefaultParagraphFont"/>
    <w:link w:val="Heading3"/>
    <w:uiPriority w:val="9"/>
    <w:rsid w:val="00787AC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787ACA"/>
    <w:rPr>
      <w:rFonts w:asciiTheme="majorHAnsi" w:eastAsiaTheme="majorEastAsia" w:hAnsiTheme="majorHAnsi" w:cstheme="majorBidi"/>
      <w:b/>
      <w:bCs/>
      <w:i/>
      <w:iCs/>
      <w:color w:val="4F81BD" w:themeColor="accent1"/>
      <w:sz w:val="24"/>
      <w:lang w:val="lt-LT"/>
    </w:rPr>
  </w:style>
  <w:style w:type="character" w:customStyle="1" w:styleId="Heading5Char">
    <w:name w:val="Heading 5 Char"/>
    <w:basedOn w:val="DefaultParagraphFont"/>
    <w:link w:val="Heading5"/>
    <w:uiPriority w:val="9"/>
    <w:rsid w:val="00787ACA"/>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rsid w:val="00787ACA"/>
    <w:rPr>
      <w:rFonts w:asciiTheme="majorHAnsi" w:eastAsiaTheme="majorEastAsia" w:hAnsiTheme="majorHAnsi" w:cstheme="majorBidi"/>
      <w:i/>
      <w:iCs/>
      <w:color w:val="243F60" w:themeColor="accent1" w:themeShade="7F"/>
      <w:sz w:val="24"/>
      <w:lang w:val="lt-LT"/>
    </w:rPr>
  </w:style>
  <w:style w:type="character" w:customStyle="1" w:styleId="Heading8Char">
    <w:name w:val="Heading 8 Char"/>
    <w:basedOn w:val="DefaultParagraphFont"/>
    <w:link w:val="Heading8"/>
    <w:uiPriority w:val="9"/>
    <w:rsid w:val="00787ACA"/>
    <w:rPr>
      <w:rFonts w:asciiTheme="majorHAnsi" w:eastAsiaTheme="majorEastAsia" w:hAnsiTheme="majorHAnsi" w:cstheme="majorBidi"/>
      <w:color w:val="404040" w:themeColor="text1" w:themeTint="BF"/>
      <w:sz w:val="20"/>
      <w:szCs w:val="20"/>
      <w:lang w:val="lt-LT"/>
    </w:rPr>
  </w:style>
  <w:style w:type="character" w:customStyle="1" w:styleId="Heading9Char">
    <w:name w:val="Heading 9 Char"/>
    <w:basedOn w:val="DefaultParagraphFont"/>
    <w:link w:val="Heading9"/>
    <w:uiPriority w:val="9"/>
    <w:rsid w:val="00787ACA"/>
    <w:rPr>
      <w:rFonts w:asciiTheme="majorHAnsi" w:eastAsiaTheme="majorEastAsia" w:hAnsiTheme="majorHAnsi" w:cstheme="majorBidi"/>
      <w:i/>
      <w:iCs/>
      <w:color w:val="404040" w:themeColor="text1" w:themeTint="BF"/>
      <w:sz w:val="20"/>
      <w:szCs w:val="20"/>
      <w:lang w:val="lt-LT"/>
    </w:rPr>
  </w:style>
  <w:style w:type="character" w:styleId="FollowedHyperlink">
    <w:name w:val="FollowedHyperlink"/>
    <w:basedOn w:val="DefaultParagraphFont"/>
    <w:uiPriority w:val="99"/>
    <w:semiHidden/>
    <w:unhideWhenUsed/>
    <w:rsid w:val="00605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41301">
      <w:bodyDiv w:val="1"/>
      <w:marLeft w:val="0"/>
      <w:marRight w:val="0"/>
      <w:marTop w:val="0"/>
      <w:marBottom w:val="0"/>
      <w:divBdr>
        <w:top w:val="none" w:sz="0" w:space="0" w:color="auto"/>
        <w:left w:val="none" w:sz="0" w:space="0" w:color="auto"/>
        <w:bottom w:val="none" w:sz="0" w:space="0" w:color="auto"/>
        <w:right w:val="none" w:sz="0" w:space="0" w:color="auto"/>
      </w:divBdr>
    </w:div>
    <w:div w:id="153029148">
      <w:bodyDiv w:val="1"/>
      <w:marLeft w:val="0"/>
      <w:marRight w:val="0"/>
      <w:marTop w:val="0"/>
      <w:marBottom w:val="0"/>
      <w:divBdr>
        <w:top w:val="none" w:sz="0" w:space="0" w:color="auto"/>
        <w:left w:val="none" w:sz="0" w:space="0" w:color="auto"/>
        <w:bottom w:val="none" w:sz="0" w:space="0" w:color="auto"/>
        <w:right w:val="none" w:sz="0" w:space="0" w:color="auto"/>
      </w:divBdr>
    </w:div>
    <w:div w:id="547302373">
      <w:bodyDiv w:val="1"/>
      <w:marLeft w:val="0"/>
      <w:marRight w:val="0"/>
      <w:marTop w:val="0"/>
      <w:marBottom w:val="0"/>
      <w:divBdr>
        <w:top w:val="none" w:sz="0" w:space="0" w:color="auto"/>
        <w:left w:val="none" w:sz="0" w:space="0" w:color="auto"/>
        <w:bottom w:val="none" w:sz="0" w:space="0" w:color="auto"/>
        <w:right w:val="none" w:sz="0" w:space="0" w:color="auto"/>
      </w:divBdr>
    </w:div>
    <w:div w:id="558367741">
      <w:bodyDiv w:val="1"/>
      <w:marLeft w:val="0"/>
      <w:marRight w:val="0"/>
      <w:marTop w:val="0"/>
      <w:marBottom w:val="0"/>
      <w:divBdr>
        <w:top w:val="none" w:sz="0" w:space="0" w:color="auto"/>
        <w:left w:val="none" w:sz="0" w:space="0" w:color="auto"/>
        <w:bottom w:val="none" w:sz="0" w:space="0" w:color="auto"/>
        <w:right w:val="none" w:sz="0" w:space="0" w:color="auto"/>
      </w:divBdr>
    </w:div>
    <w:div w:id="586888076">
      <w:bodyDiv w:val="1"/>
      <w:marLeft w:val="0"/>
      <w:marRight w:val="0"/>
      <w:marTop w:val="0"/>
      <w:marBottom w:val="0"/>
      <w:divBdr>
        <w:top w:val="none" w:sz="0" w:space="0" w:color="auto"/>
        <w:left w:val="none" w:sz="0" w:space="0" w:color="auto"/>
        <w:bottom w:val="none" w:sz="0" w:space="0" w:color="auto"/>
        <w:right w:val="none" w:sz="0" w:space="0" w:color="auto"/>
      </w:divBdr>
    </w:div>
    <w:div w:id="780491000">
      <w:bodyDiv w:val="1"/>
      <w:marLeft w:val="0"/>
      <w:marRight w:val="0"/>
      <w:marTop w:val="0"/>
      <w:marBottom w:val="0"/>
      <w:divBdr>
        <w:top w:val="none" w:sz="0" w:space="0" w:color="auto"/>
        <w:left w:val="none" w:sz="0" w:space="0" w:color="auto"/>
        <w:bottom w:val="none" w:sz="0" w:space="0" w:color="auto"/>
        <w:right w:val="none" w:sz="0" w:space="0" w:color="auto"/>
      </w:divBdr>
    </w:div>
    <w:div w:id="1522357289">
      <w:bodyDiv w:val="1"/>
      <w:marLeft w:val="0"/>
      <w:marRight w:val="0"/>
      <w:marTop w:val="0"/>
      <w:marBottom w:val="0"/>
      <w:divBdr>
        <w:top w:val="none" w:sz="0" w:space="0" w:color="auto"/>
        <w:left w:val="none" w:sz="0" w:space="0" w:color="auto"/>
        <w:bottom w:val="none" w:sz="0" w:space="0" w:color="auto"/>
        <w:right w:val="none" w:sz="0" w:space="0" w:color="auto"/>
      </w:divBdr>
    </w:div>
    <w:div w:id="1955749239">
      <w:bodyDiv w:val="1"/>
      <w:marLeft w:val="0"/>
      <w:marRight w:val="0"/>
      <w:marTop w:val="0"/>
      <w:marBottom w:val="0"/>
      <w:divBdr>
        <w:top w:val="none" w:sz="0" w:space="0" w:color="auto"/>
        <w:left w:val="none" w:sz="0" w:space="0" w:color="auto"/>
        <w:bottom w:val="none" w:sz="0" w:space="0" w:color="auto"/>
        <w:right w:val="none" w:sz="0" w:space="0" w:color="auto"/>
      </w:divBdr>
    </w:div>
    <w:div w:id="1969117792">
      <w:bodyDiv w:val="1"/>
      <w:marLeft w:val="0"/>
      <w:marRight w:val="0"/>
      <w:marTop w:val="0"/>
      <w:marBottom w:val="0"/>
      <w:divBdr>
        <w:top w:val="none" w:sz="0" w:space="0" w:color="auto"/>
        <w:left w:val="none" w:sz="0" w:space="0" w:color="auto"/>
        <w:bottom w:val="none" w:sz="0" w:space="0" w:color="auto"/>
        <w:right w:val="none" w:sz="0" w:space="0" w:color="auto"/>
      </w:divBdr>
    </w:div>
    <w:div w:id="19772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fr/petite-loi-ameli/2012-2013/9.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better-regulation/initiatives/ares-2019-2470647_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C425-295F-42BC-8294-11F7D8EE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9621</Words>
  <Characters>5485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hualdev</dc:creator>
  <cp:lastModifiedBy>Marijus Muralis</cp:lastModifiedBy>
  <cp:revision>13</cp:revision>
  <cp:lastPrinted>2019-08-30T09:36:00Z</cp:lastPrinted>
  <dcterms:created xsi:type="dcterms:W3CDTF">2019-12-16T08:57:00Z</dcterms:created>
  <dcterms:modified xsi:type="dcterms:W3CDTF">2020-02-03T07:37:00Z</dcterms:modified>
</cp:coreProperties>
</file>